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webextensions/taskpanes.xml" ContentType="application/vnd.ms-office.webextensiontaskpanes+xml"/>
  <Override PartName="/word/people.xml" ContentType="application/vnd.openxmlformats-officedocument.wordprocessingml.people+xml"/>
  <Override PartName="/word/webextensions/webextension1.xml" ContentType="application/vnd.ms-office.webextensio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11/relationships/webextensiontaskpanes" Target="word/webextensions/taskpanes.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44CB" w:rsidRDefault="00543429" w:rsidP="00437C3B">
      <w:pPr>
        <w:jc w:val="center"/>
        <w:rPr>
          <w:b/>
          <w:sz w:val="24"/>
        </w:rPr>
      </w:pPr>
      <w:bookmarkStart w:id="0" w:name="_GoBack"/>
      <w:bookmarkEnd w:id="0"/>
      <w:r>
        <w:rPr>
          <w:b/>
          <w:noProof/>
          <w:sz w:val="24"/>
          <w:lang w:eastAsia="es-EC"/>
        </w:rPr>
        <mc:AlternateContent>
          <mc:Choice Requires="wps">
            <w:drawing>
              <wp:anchor distT="0" distB="0" distL="114300" distR="114300" simplePos="0" relativeHeight="251656704" behindDoc="0" locked="0" layoutInCell="1" allowOverlap="1">
                <wp:simplePos x="0" y="0"/>
                <wp:positionH relativeFrom="column">
                  <wp:posOffset>-1165225</wp:posOffset>
                </wp:positionH>
                <wp:positionV relativeFrom="paragraph">
                  <wp:posOffset>-1721485</wp:posOffset>
                </wp:positionV>
                <wp:extent cx="7889240" cy="10381615"/>
                <wp:effectExtent l="0" t="0" r="16510" b="19685"/>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89240" cy="10381615"/>
                        </a:xfrm>
                        <a:prstGeom prst="rect">
                          <a:avLst/>
                        </a:prstGeom>
                        <a:solidFill>
                          <a:srgbClr val="FFFFFF"/>
                        </a:solidFill>
                        <a:ln w="9525">
                          <a:solidFill>
                            <a:srgbClr val="000000"/>
                          </a:solidFill>
                          <a:miter lim="800000"/>
                          <a:headEnd/>
                          <a:tailEnd/>
                        </a:ln>
                      </wps:spPr>
                      <wps:txbx>
                        <w:txbxContent>
                          <w:p w:rsidR="005B5E13" w:rsidRDefault="005B5E13" w:rsidP="00827404">
                            <w:pPr>
                              <w:ind w:right="-70"/>
                              <w:rPr>
                                <w:lang w:val="es-ES"/>
                              </w:rPr>
                            </w:pPr>
                            <w:r>
                              <w:rPr>
                                <w:noProof/>
                                <w:lang w:eastAsia="es-EC"/>
                              </w:rPr>
                              <w:drawing>
                                <wp:inline distT="0" distB="0" distL="0" distR="0">
                                  <wp:extent cx="7730441" cy="10010998"/>
                                  <wp:effectExtent l="0" t="0" r="0" b="0"/>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a.jpg"/>
                                          <pic:cNvPicPr/>
                                        </pic:nvPicPr>
                                        <pic:blipFill>
                                          <a:blip r:embed="rId9">
                                            <a:extLst>
                                              <a:ext uri="{28A0092B-C50C-407E-A947-70E740481C1C}">
                                                <a14:useLocalDpi xmlns:a14="http://schemas.microsoft.com/office/drawing/2010/main" val="0"/>
                                              </a:ext>
                                            </a:extLst>
                                          </a:blip>
                                          <a:stretch>
                                            <a:fillRect/>
                                          </a:stretch>
                                        </pic:blipFill>
                                        <pic:spPr>
                                          <a:xfrm>
                                            <a:off x="0" y="0"/>
                                            <a:ext cx="7730441" cy="10010998"/>
                                          </a:xfrm>
                                          <a:prstGeom prst="rect">
                                            <a:avLst/>
                                          </a:prstGeom>
                                          <a:blipFill rotWithShape="1">
                                            <a:blip r:embed="rId9"/>
                                            <a:stretch>
                                              <a:fillRect/>
                                            </a:stretch>
                                          </a:blipFill>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91.75pt;margin-top:-135.55pt;width:621.2pt;height:817.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">
                <v:textbox>
                  <w:txbxContent>
                    <w:p w:rsidR="005B5E13" w:rsidRDefault="005B5E13" w:rsidP="00827404">
                      <w:pPr>
                        <w:ind w:right="-70"/>
                        <w:rPr>
                          <w:lang w:val="es-ES"/>
                        </w:rPr>
                      </w:pPr>
                      <w:r>
                        <w:rPr>
                          <w:noProof/>
                          <w:lang w:eastAsia="es-EC"/>
                        </w:rPr>
                        <w:drawing>
                          <wp:inline distT="0" distB="0" distL="0" distR="0">
                            <wp:extent cx="7730441" cy="10010998"/>
                            <wp:effectExtent l="0" t="0" r="0" b="0"/>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a.jpg"/>
                                    <pic:cNvPicPr/>
                                  </pic:nvPicPr>
                                  <pic:blipFill>
                                    <a:blip r:embed="rId9">
                                      <a:extLst>
                                        <a:ext uri="{28A0092B-C50C-407E-A947-70E740481C1C}">
                                          <a14:useLocalDpi xmlns:a14="http://schemas.microsoft.com/office/drawing/2010/main" val="0"/>
                                        </a:ext>
                                      </a:extLst>
                                    </a:blip>
                                    <a:stretch>
                                      <a:fillRect/>
                                    </a:stretch>
                                  </pic:blipFill>
                                  <pic:spPr>
                                    <a:xfrm>
                                      <a:off x="0" y="0"/>
                                      <a:ext cx="7730441" cy="10010998"/>
                                    </a:xfrm>
                                    <a:prstGeom prst="rect">
                                      <a:avLst/>
                                    </a:prstGeom>
                                    <a:blipFill rotWithShape="1">
                                      <a:blip r:embed="rId9"/>
                                      <a:stretch>
                                        <a:fillRect/>
                                      </a:stretch>
                                    </a:blipFill>
                                  </pic:spPr>
                                </pic:pic>
                              </a:graphicData>
                            </a:graphic>
                          </wp:inline>
                        </w:drawing>
                      </w:r>
                    </w:p>
                  </w:txbxContent>
                </v:textbox>
              </v:shape>
            </w:pict>
          </mc:Fallback>
        </mc:AlternateContent>
      </w:r>
    </w:p>
    <w:p w:rsidR="003A063B" w:rsidRDefault="00543429" w:rsidP="00437C3B">
      <w:pPr>
        <w:jc w:val="center"/>
        <w:rPr>
          <w:b/>
          <w:sz w:val="24"/>
        </w:rPr>
      </w:pPr>
      <w:r>
        <w:rPr>
          <w:b/>
          <w:noProof/>
          <w:sz w:val="24"/>
          <w:lang w:eastAsia="es-EC"/>
        </w:rPr>
        <mc:AlternateContent>
          <mc:Choice Requires="wps">
            <w:drawing>
              <wp:anchor distT="0" distB="0" distL="114300" distR="114300" simplePos="0" relativeHeight="251659776" behindDoc="0" locked="0" layoutInCell="1" allowOverlap="1">
                <wp:simplePos x="0" y="0"/>
                <wp:positionH relativeFrom="column">
                  <wp:posOffset>1045845</wp:posOffset>
                </wp:positionH>
                <wp:positionV relativeFrom="paragraph">
                  <wp:posOffset>1449070</wp:posOffset>
                </wp:positionV>
                <wp:extent cx="4770120" cy="1729740"/>
                <wp:effectExtent l="0" t="0" r="0" b="3810"/>
                <wp:wrapSquare wrapText="bothSides"/>
                <wp:docPr id="4"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70120" cy="172974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rsidR="005B5E13" w:rsidRPr="0050164C" w:rsidRDefault="005B5E13" w:rsidP="0050164C">
                            <w:pPr>
                              <w:spacing w:after="0" w:line="240" w:lineRule="auto"/>
                              <w:rPr>
                                <w:b/>
                                <w:color w:val="365F91" w:themeColor="accent1" w:themeShade="BF"/>
                                <w:sz w:val="44"/>
                                <w:szCs w:val="44"/>
                              </w:rPr>
                            </w:pPr>
                            <w:r w:rsidRPr="005B5E13">
                              <w:rPr>
                                <w:color w:val="808080" w:themeColor="background1" w:themeShade="80"/>
                                <w:sz w:val="44"/>
                                <w:szCs w:val="44"/>
                              </w:rPr>
                              <w:t>Empalme por Interpolación Estructural de las series de los principales cultivos estimados por la Encuesta de Superficie y Producción Agropec</w:t>
                            </w:r>
                            <w:r w:rsidR="00391965">
                              <w:rPr>
                                <w:color w:val="808080" w:themeColor="background1" w:themeShade="80"/>
                                <w:sz w:val="44"/>
                                <w:szCs w:val="44"/>
                              </w:rPr>
                              <w:t xml:space="preserve">uaria Continua </w:t>
                            </w:r>
                            <w:r w:rsidRPr="005B5E13">
                              <w:rPr>
                                <w:color w:val="808080" w:themeColor="background1" w:themeShade="80"/>
                                <w:sz w:val="44"/>
                                <w:szCs w:val="44"/>
                              </w:rPr>
                              <w:t>2002 – 2014</w:t>
                            </w:r>
                          </w:p>
                          <w:p w:rsidR="005B5E13" w:rsidRDefault="005B5E1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4" o:spid="_x0000_s1027" type="#_x0000_t202" style="position:absolute;left:0;text-align:left;margin-left:82.35pt;margin-top:114.1pt;width:375.6pt;height:136.2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" filled="f" stroked="f">
                <v:path arrowok="t"/>
                <v:textbox>
                  <w:txbxContent>
                    <w:p w:rsidR="005B5E13" w:rsidRPr="0050164C" w:rsidRDefault="005B5E13" w:rsidP="0050164C">
                      <w:pPr>
                        <w:spacing w:after="0" w:line="240" w:lineRule="auto"/>
                        <w:rPr>
                          <w:b/>
                          <w:color w:val="365F91" w:themeColor="accent1" w:themeShade="BF"/>
                          <w:sz w:val="44"/>
                          <w:szCs w:val="44"/>
                        </w:rPr>
                      </w:pPr>
                      <w:r w:rsidRPr="005B5E13">
                        <w:rPr>
                          <w:color w:val="808080" w:themeColor="background1" w:themeShade="80"/>
                          <w:sz w:val="44"/>
                          <w:szCs w:val="44"/>
                        </w:rPr>
                        <w:t>Empalme por Interpolación Estructural de las series de los principales cultivos estimados por la Encuesta de Superficie y Producción Agropec</w:t>
                      </w:r>
                      <w:r w:rsidR="00391965">
                        <w:rPr>
                          <w:color w:val="808080" w:themeColor="background1" w:themeShade="80"/>
                          <w:sz w:val="44"/>
                          <w:szCs w:val="44"/>
                        </w:rPr>
                        <w:t xml:space="preserve">uaria Continua </w:t>
                      </w:r>
                      <w:r w:rsidRPr="005B5E13">
                        <w:rPr>
                          <w:color w:val="808080" w:themeColor="background1" w:themeShade="80"/>
                          <w:sz w:val="44"/>
                          <w:szCs w:val="44"/>
                        </w:rPr>
                        <w:t>2002 – 2014</w:t>
                      </w:r>
                    </w:p>
                    <w:p w:rsidR="005B5E13" w:rsidRDefault="005B5E13"/>
                  </w:txbxContent>
                </v:textbox>
                <w10:wrap type="square"/>
              </v:shape>
            </w:pict>
          </mc:Fallback>
        </mc:AlternateContent>
      </w:r>
      <w:r w:rsidR="009544CB">
        <w:rPr>
          <w:b/>
          <w:sz w:val="24"/>
        </w:rPr>
        <w:br w:type="page"/>
      </w:r>
    </w:p>
    <w:p w:rsidR="00DB047A" w:rsidRDefault="00DB047A" w:rsidP="003A063B">
      <w:pPr>
        <w:spacing w:after="0"/>
        <w:jc w:val="both"/>
        <w:rPr>
          <w:b/>
        </w:rPr>
      </w:pPr>
    </w:p>
    <w:p w:rsidR="00DB047A" w:rsidRDefault="00DB047A" w:rsidP="003A063B">
      <w:pPr>
        <w:spacing w:after="0"/>
        <w:jc w:val="both"/>
        <w:rPr>
          <w:b/>
        </w:rPr>
      </w:pPr>
    </w:p>
    <w:p w:rsidR="00DB047A" w:rsidRDefault="00DB047A" w:rsidP="003A063B">
      <w:pPr>
        <w:spacing w:after="0"/>
        <w:jc w:val="both"/>
        <w:rPr>
          <w:b/>
        </w:rPr>
      </w:pPr>
    </w:p>
    <w:p w:rsidR="00DB047A" w:rsidRDefault="00DB047A" w:rsidP="003A063B">
      <w:pPr>
        <w:spacing w:after="0"/>
        <w:jc w:val="both"/>
        <w:rPr>
          <w:b/>
        </w:rPr>
      </w:pPr>
    </w:p>
    <w:p w:rsidR="00DB047A" w:rsidRDefault="00DB047A" w:rsidP="003A063B">
      <w:pPr>
        <w:spacing w:after="0"/>
        <w:jc w:val="both"/>
        <w:rPr>
          <w:b/>
        </w:rPr>
      </w:pPr>
    </w:p>
    <w:p w:rsidR="00DB047A" w:rsidRDefault="00DB047A" w:rsidP="003A063B">
      <w:pPr>
        <w:spacing w:after="0"/>
        <w:jc w:val="both"/>
        <w:rPr>
          <w:b/>
        </w:rPr>
      </w:pPr>
    </w:p>
    <w:p w:rsidR="00DB047A" w:rsidRDefault="00DB047A" w:rsidP="003A063B">
      <w:pPr>
        <w:spacing w:after="0"/>
        <w:jc w:val="both"/>
        <w:rPr>
          <w:b/>
        </w:rPr>
      </w:pPr>
    </w:p>
    <w:p w:rsidR="00DB047A" w:rsidRDefault="00DB047A" w:rsidP="003A063B">
      <w:pPr>
        <w:spacing w:after="0"/>
        <w:jc w:val="both"/>
        <w:rPr>
          <w:b/>
        </w:rPr>
      </w:pPr>
    </w:p>
    <w:p w:rsidR="00DB047A" w:rsidRDefault="00DB047A" w:rsidP="003A063B">
      <w:pPr>
        <w:spacing w:after="0"/>
        <w:jc w:val="both"/>
        <w:rPr>
          <w:b/>
        </w:rPr>
      </w:pPr>
    </w:p>
    <w:p w:rsidR="00DB047A" w:rsidRDefault="00DB047A" w:rsidP="003A063B">
      <w:pPr>
        <w:spacing w:after="0"/>
        <w:jc w:val="both"/>
        <w:rPr>
          <w:b/>
        </w:rPr>
      </w:pPr>
    </w:p>
    <w:p w:rsidR="00DB047A" w:rsidRDefault="00DB047A" w:rsidP="003A063B">
      <w:pPr>
        <w:spacing w:after="0"/>
        <w:jc w:val="both"/>
        <w:rPr>
          <w:b/>
        </w:rPr>
      </w:pPr>
    </w:p>
    <w:p w:rsidR="00DB047A" w:rsidRDefault="00DB047A" w:rsidP="003A063B">
      <w:pPr>
        <w:spacing w:after="0"/>
        <w:jc w:val="both"/>
        <w:rPr>
          <w:b/>
        </w:rPr>
      </w:pPr>
    </w:p>
    <w:p w:rsidR="00DB047A" w:rsidRDefault="00DB047A" w:rsidP="003A063B">
      <w:pPr>
        <w:spacing w:after="0"/>
        <w:jc w:val="both"/>
        <w:rPr>
          <w:b/>
        </w:rPr>
      </w:pPr>
    </w:p>
    <w:p w:rsidR="00DB047A" w:rsidRDefault="00DB047A" w:rsidP="003A063B">
      <w:pPr>
        <w:spacing w:after="0"/>
        <w:jc w:val="both"/>
        <w:rPr>
          <w:b/>
        </w:rPr>
      </w:pPr>
    </w:p>
    <w:p w:rsidR="00DB047A" w:rsidRDefault="00DB047A" w:rsidP="003A063B">
      <w:pPr>
        <w:spacing w:after="0"/>
        <w:jc w:val="both"/>
        <w:rPr>
          <w:b/>
        </w:rPr>
      </w:pPr>
    </w:p>
    <w:p w:rsidR="00DB047A" w:rsidRDefault="00DB047A" w:rsidP="003A063B">
      <w:pPr>
        <w:spacing w:after="0"/>
        <w:jc w:val="both"/>
        <w:rPr>
          <w:b/>
        </w:rPr>
      </w:pPr>
    </w:p>
    <w:p w:rsidR="00DB047A" w:rsidRDefault="00DB047A" w:rsidP="003A063B">
      <w:pPr>
        <w:spacing w:after="0"/>
        <w:jc w:val="both"/>
        <w:rPr>
          <w:b/>
        </w:rPr>
      </w:pPr>
    </w:p>
    <w:p w:rsidR="00DB047A" w:rsidRDefault="00DB047A" w:rsidP="003A063B">
      <w:pPr>
        <w:spacing w:after="0"/>
        <w:jc w:val="both"/>
        <w:rPr>
          <w:b/>
        </w:rPr>
      </w:pPr>
    </w:p>
    <w:p w:rsidR="005B5E13" w:rsidRDefault="005B5E13" w:rsidP="00DB047A">
      <w:pPr>
        <w:spacing w:after="0"/>
        <w:jc w:val="both"/>
        <w:rPr>
          <w:b/>
        </w:rPr>
      </w:pPr>
    </w:p>
    <w:p w:rsidR="005B5E13" w:rsidRDefault="005B5E13" w:rsidP="00DB047A">
      <w:pPr>
        <w:spacing w:after="0"/>
        <w:jc w:val="both"/>
        <w:rPr>
          <w:b/>
        </w:rPr>
      </w:pPr>
    </w:p>
    <w:p w:rsidR="005B5E13" w:rsidRDefault="005B5E13" w:rsidP="00DB047A">
      <w:pPr>
        <w:spacing w:after="0"/>
        <w:jc w:val="both"/>
        <w:rPr>
          <w:b/>
        </w:rPr>
      </w:pPr>
    </w:p>
    <w:p w:rsidR="00DB047A" w:rsidRPr="00DB047A" w:rsidRDefault="005B5E13" w:rsidP="00DB047A">
      <w:pPr>
        <w:spacing w:after="0"/>
        <w:jc w:val="both"/>
        <w:rPr>
          <w:b/>
        </w:rPr>
      </w:pPr>
      <w:r w:rsidRPr="005B5E13">
        <w:rPr>
          <w:b/>
        </w:rPr>
        <w:t>Empalme por Interpolación Estructural de las series de los principales cultivos estimados por la Encuesta de Superficie y Producción Agropecuaria Continua 2002 – 2014</w:t>
      </w:r>
    </w:p>
    <w:p w:rsidR="00DB047A" w:rsidRPr="00DB047A" w:rsidRDefault="00DB047A" w:rsidP="00DB047A">
      <w:pPr>
        <w:spacing w:after="0"/>
        <w:jc w:val="both"/>
        <w:rPr>
          <w:b/>
        </w:rPr>
      </w:pPr>
    </w:p>
    <w:p w:rsidR="00DB047A" w:rsidRPr="00DB047A" w:rsidRDefault="00DB047A" w:rsidP="00DB047A">
      <w:pPr>
        <w:spacing w:after="0"/>
        <w:jc w:val="both"/>
        <w:rPr>
          <w:b/>
        </w:rPr>
      </w:pPr>
    </w:p>
    <w:p w:rsidR="00DB047A" w:rsidRPr="00DB047A" w:rsidRDefault="00DB047A" w:rsidP="00DB047A">
      <w:pPr>
        <w:spacing w:after="0"/>
        <w:jc w:val="both"/>
        <w:rPr>
          <w:b/>
        </w:rPr>
      </w:pPr>
      <w:r w:rsidRPr="00DB047A">
        <w:rPr>
          <w:b/>
        </w:rPr>
        <w:t>Dirección responsable de la información estadística y contenidos:</w:t>
      </w:r>
    </w:p>
    <w:p w:rsidR="00DB047A" w:rsidRPr="00DB047A" w:rsidRDefault="00DB047A" w:rsidP="00DB047A">
      <w:pPr>
        <w:spacing w:after="0"/>
        <w:jc w:val="both"/>
        <w:rPr>
          <w:b/>
        </w:rPr>
      </w:pPr>
      <w:r w:rsidRPr="00DB047A">
        <w:rPr>
          <w:b/>
        </w:rPr>
        <w:t xml:space="preserve">DIRECCIÓN DE </w:t>
      </w:r>
      <w:r w:rsidR="005B5E13">
        <w:rPr>
          <w:b/>
        </w:rPr>
        <w:t>INFRAESTRUCTURA ESTADÍSTICA Y MUESTREO</w:t>
      </w:r>
    </w:p>
    <w:p w:rsidR="00DB047A" w:rsidRPr="00DB047A" w:rsidRDefault="00DB047A" w:rsidP="00DB047A">
      <w:pPr>
        <w:spacing w:after="0"/>
        <w:jc w:val="both"/>
        <w:rPr>
          <w:b/>
        </w:rPr>
      </w:pPr>
      <w:r w:rsidRPr="00DB047A">
        <w:rPr>
          <w:b/>
        </w:rPr>
        <w:t xml:space="preserve"> </w:t>
      </w:r>
    </w:p>
    <w:p w:rsidR="00DB047A" w:rsidRPr="00DB047A" w:rsidRDefault="00DB047A" w:rsidP="00DB047A">
      <w:pPr>
        <w:spacing w:after="0"/>
        <w:jc w:val="both"/>
        <w:rPr>
          <w:b/>
        </w:rPr>
      </w:pPr>
      <w:r w:rsidRPr="00DB047A">
        <w:rPr>
          <w:b/>
        </w:rPr>
        <w:t>Realizadores:</w:t>
      </w:r>
    </w:p>
    <w:p w:rsidR="00DB047A" w:rsidRPr="00DB047A" w:rsidRDefault="005B5E13" w:rsidP="00DB047A">
      <w:pPr>
        <w:spacing w:after="0"/>
        <w:jc w:val="both"/>
        <w:rPr>
          <w:b/>
        </w:rPr>
      </w:pPr>
      <w:r>
        <w:rPr>
          <w:b/>
        </w:rPr>
        <w:t>Salomé Borja Parreño</w:t>
      </w:r>
    </w:p>
    <w:p w:rsidR="00DB047A" w:rsidRPr="00DB047A" w:rsidRDefault="005B5E13" w:rsidP="00DB047A">
      <w:pPr>
        <w:spacing w:after="0"/>
        <w:jc w:val="both"/>
        <w:rPr>
          <w:b/>
        </w:rPr>
      </w:pPr>
      <w:r>
        <w:rPr>
          <w:b/>
        </w:rPr>
        <w:t>Javier Núñez Salgado</w:t>
      </w:r>
    </w:p>
    <w:p w:rsidR="00DB047A" w:rsidRPr="00DB047A" w:rsidRDefault="00DB047A" w:rsidP="00DB047A">
      <w:pPr>
        <w:spacing w:after="0"/>
        <w:jc w:val="both"/>
        <w:rPr>
          <w:b/>
        </w:rPr>
      </w:pPr>
    </w:p>
    <w:p w:rsidR="00DB047A" w:rsidRPr="00DB047A" w:rsidRDefault="00DB047A" w:rsidP="00DB047A">
      <w:pPr>
        <w:spacing w:after="0"/>
        <w:jc w:val="both"/>
        <w:rPr>
          <w:b/>
        </w:rPr>
      </w:pPr>
    </w:p>
    <w:p w:rsidR="00DB047A" w:rsidRPr="00DB047A" w:rsidRDefault="00DB047A" w:rsidP="00DB047A">
      <w:pPr>
        <w:spacing w:after="0"/>
        <w:jc w:val="both"/>
        <w:rPr>
          <w:b/>
        </w:rPr>
      </w:pPr>
    </w:p>
    <w:p w:rsidR="00DB047A" w:rsidRPr="00DB047A" w:rsidRDefault="00DB047A" w:rsidP="00DB047A">
      <w:pPr>
        <w:spacing w:after="0"/>
        <w:jc w:val="both"/>
        <w:rPr>
          <w:b/>
        </w:rPr>
      </w:pPr>
      <w:r w:rsidRPr="00DB047A">
        <w:rPr>
          <w:b/>
        </w:rPr>
        <w:t>Corrección de textos:</w:t>
      </w:r>
    </w:p>
    <w:p w:rsidR="00DB047A" w:rsidRDefault="00DB047A" w:rsidP="00DB047A">
      <w:pPr>
        <w:spacing w:after="0"/>
        <w:jc w:val="both"/>
        <w:rPr>
          <w:b/>
        </w:rPr>
      </w:pPr>
      <w:r w:rsidRPr="00DB047A">
        <w:rPr>
          <w:b/>
        </w:rPr>
        <w:t>DIRECCIÓN DE COMUNICACIÓN SOCIAL</w:t>
      </w:r>
    </w:p>
    <w:p w:rsidR="00A94028" w:rsidRDefault="00603F25" w:rsidP="00A94028">
      <w:pPr>
        <w:pStyle w:val="Ttulo2"/>
        <w:jc w:val="both"/>
      </w:pPr>
      <w:r>
        <w:lastRenderedPageBreak/>
        <w:t>INTRODUCCIÓN</w:t>
      </w:r>
    </w:p>
    <w:p w:rsidR="00603F25" w:rsidRDefault="00603F25" w:rsidP="005B5E13">
      <w:pPr>
        <w:spacing w:after="0"/>
        <w:jc w:val="both"/>
      </w:pPr>
    </w:p>
    <w:p w:rsidR="005B5E13" w:rsidRDefault="00AF4333" w:rsidP="005B5E13">
      <w:pPr>
        <w:spacing w:after="0"/>
        <w:jc w:val="both"/>
      </w:pPr>
      <w:r>
        <w:t>Durante</w:t>
      </w:r>
      <w:r w:rsidR="005B5E13">
        <w:t xml:space="preserve"> </w:t>
      </w:r>
      <w:r w:rsidR="00DB2E1F">
        <w:t xml:space="preserve">el </w:t>
      </w:r>
      <w:r w:rsidR="005B5E13">
        <w:t xml:space="preserve">periodo 2002-2013, la Encuesta de Superficie y Producción Agropecuaria Continua (ESPAC) generaba sus estimaciones a través de un Muestreo en Dos Fases (Doble) implementado a partir del Censo Nacional Agropecuario realizado en el año 2000 (CNA 2000). </w:t>
      </w:r>
      <w:r>
        <w:t>Por lo tanto</w:t>
      </w:r>
      <w:r w:rsidR="005B5E13">
        <w:t>, la muestra usada para ESPAC era una submuestra seleccionada a partir de las unidades de observación que participaron en el CNA 2000.</w:t>
      </w:r>
    </w:p>
    <w:p w:rsidR="005B5E13" w:rsidRDefault="005B5E13" w:rsidP="005B5E13">
      <w:pPr>
        <w:spacing w:after="0"/>
        <w:jc w:val="both"/>
      </w:pPr>
    </w:p>
    <w:p w:rsidR="005B5E13" w:rsidRDefault="00AF4333" w:rsidP="005B5E13">
      <w:pPr>
        <w:spacing w:after="0"/>
        <w:jc w:val="both"/>
      </w:pPr>
      <w:r>
        <w:t>Sin embargo, el</w:t>
      </w:r>
      <w:r w:rsidR="005B5E13">
        <w:t xml:space="preserve"> CNA 2000 no fue un ejercicio censal por enumeración completa, </w:t>
      </w:r>
      <w:r>
        <w:t xml:space="preserve">sino </w:t>
      </w:r>
      <w:r w:rsidR="008F5FEF">
        <w:t xml:space="preserve">éste </w:t>
      </w:r>
      <w:r w:rsidR="005B5E13">
        <w:t>se apoyó en la metodología denominada Muestreo de Marco Múltiple (MMM), compuesto por un Marco de Muestreo de Áreas (MMA) y un Marco de Muestreo de Lista (MML), donde:</w:t>
      </w:r>
    </w:p>
    <w:p w:rsidR="005B5E13" w:rsidRDefault="005B5E13" w:rsidP="005B5E13">
      <w:pPr>
        <w:spacing w:after="0"/>
        <w:jc w:val="both"/>
      </w:pPr>
    </w:p>
    <w:p w:rsidR="005B5E13" w:rsidRDefault="005B5E13" w:rsidP="005B5E13">
      <w:pPr>
        <w:pStyle w:val="Prrafodelista"/>
        <w:numPr>
          <w:ilvl w:val="0"/>
          <w:numId w:val="4"/>
        </w:numPr>
        <w:spacing w:after="0"/>
        <w:jc w:val="both"/>
      </w:pPr>
      <w:r>
        <w:t>El diseño del MMA empleado en el CNA 2000 fue probabilístico, estratificado y replicado de áreas (conglomerados) con dos etapas de selección mediante el cual, se seleccionaron sistemáticamente las Unidades Primarias de Muestreo (UPM’s) y en la segunda, se escogió aleatoriamente al menos un Segmento de Muestreo (SM) en cada UPM incluida en la muestra de primera etapa de selección.</w:t>
      </w:r>
    </w:p>
    <w:p w:rsidR="005B5E13" w:rsidRDefault="005B5E13" w:rsidP="005B5E13">
      <w:pPr>
        <w:pStyle w:val="Prrafodelista"/>
        <w:spacing w:after="0"/>
        <w:jc w:val="both"/>
      </w:pPr>
    </w:p>
    <w:p w:rsidR="005B5E13" w:rsidRDefault="005B5E13" w:rsidP="005B5E13">
      <w:pPr>
        <w:pStyle w:val="Prrafodelista"/>
        <w:numPr>
          <w:ilvl w:val="0"/>
          <w:numId w:val="4"/>
        </w:numPr>
        <w:spacing w:after="0"/>
        <w:jc w:val="both"/>
      </w:pPr>
      <w:r>
        <w:t>EL MML contemplaba el 100% de las Unidades de Producción Agropecuarias (UPA’s) importantes (100 ha. o más), sectoriales (menos de 50 ha. con cultivos principales focalizados) y especiales (flores, maracuyá, mango, avícolas, porcinos, camaroneras, entre otras).</w:t>
      </w:r>
    </w:p>
    <w:p w:rsidR="005B5E13" w:rsidRDefault="005B5E13" w:rsidP="005B5E13">
      <w:pPr>
        <w:spacing w:after="0"/>
        <w:jc w:val="both"/>
      </w:pPr>
    </w:p>
    <w:p w:rsidR="005B5E13" w:rsidRDefault="005B5E13" w:rsidP="005B5E13">
      <w:pPr>
        <w:spacing w:after="0"/>
        <w:jc w:val="both"/>
      </w:pPr>
      <w:r>
        <w:t>En la etapa de campo del CNA 2000 se encuestaron 12,277 SM del MMA y 15.238 UPA’s correspondientes al MML, de los cuales, 2000 SM y 4000 UPA’s fueron seleccionados para la primera ronda de ESPAC en el año 2002.</w:t>
      </w:r>
    </w:p>
    <w:p w:rsidR="005B5E13" w:rsidRDefault="005B5E13" w:rsidP="005B5E13">
      <w:pPr>
        <w:spacing w:after="0"/>
        <w:jc w:val="both"/>
      </w:pPr>
    </w:p>
    <w:p w:rsidR="005B5E13" w:rsidRDefault="005B5E13" w:rsidP="005B5E13">
      <w:pPr>
        <w:spacing w:after="0"/>
        <w:jc w:val="both"/>
      </w:pPr>
      <w:r>
        <w:t xml:space="preserve">Gracias al Muestreo en dos Fases (Doble), la eficacia estadística de los estimadores resultantes de ESPAC se basan en la posibilidad de correlacionar la información obtenida de la muestra de Primera Fase (muestra CNA 2000) con la información recolectada en la muestra de Segunda Fase (muestra ESPAC), pero esta pierde </w:t>
      </w:r>
      <w:r w:rsidR="00603F25">
        <w:t>consistencia en el transcurso de</w:t>
      </w:r>
      <w:r w:rsidR="00AC05E1">
        <w:t>l</w:t>
      </w:r>
      <w:r>
        <w:t xml:space="preserve"> tiempo debido </w:t>
      </w:r>
      <w:r w:rsidR="00603F25">
        <w:t>principalmente a factores como:</w:t>
      </w:r>
    </w:p>
    <w:p w:rsidR="005B5E13" w:rsidRDefault="005B5E13" w:rsidP="005B5E13">
      <w:pPr>
        <w:spacing w:after="0"/>
        <w:jc w:val="both"/>
      </w:pPr>
    </w:p>
    <w:p w:rsidR="005B5E13" w:rsidRDefault="005B5E13" w:rsidP="005B5E13">
      <w:pPr>
        <w:pStyle w:val="Prrafodelista"/>
        <w:numPr>
          <w:ilvl w:val="0"/>
          <w:numId w:val="5"/>
        </w:numPr>
        <w:spacing w:after="0"/>
        <w:jc w:val="both"/>
      </w:pPr>
      <w:r>
        <w:t>Desactualización de los marcos de muestreo</w:t>
      </w:r>
      <w:r w:rsidR="00DB18E6">
        <w:t>.</w:t>
      </w:r>
    </w:p>
    <w:p w:rsidR="005B5E13" w:rsidRPr="00222CAF" w:rsidRDefault="005B5E13" w:rsidP="005B5E13">
      <w:pPr>
        <w:pStyle w:val="Prrafodelista"/>
        <w:numPr>
          <w:ilvl w:val="0"/>
          <w:numId w:val="5"/>
        </w:numPr>
        <w:spacing w:after="0"/>
        <w:jc w:val="both"/>
      </w:pPr>
      <w:r w:rsidRPr="00222CAF">
        <w:t>Tasas de no respuesta</w:t>
      </w:r>
      <w:r w:rsidR="007252B1" w:rsidRPr="00222CAF">
        <w:t xml:space="preserve"> mayores al 5%</w:t>
      </w:r>
      <w:r w:rsidR="00DB18E6">
        <w:t>.</w:t>
      </w:r>
    </w:p>
    <w:p w:rsidR="005B5E13" w:rsidRDefault="005B5E13" w:rsidP="005B5E13">
      <w:pPr>
        <w:pStyle w:val="Prrafodelista"/>
      </w:pPr>
    </w:p>
    <w:p w:rsidR="00485846" w:rsidRDefault="00485846" w:rsidP="00485846">
      <w:pPr>
        <w:pStyle w:val="Prrafodelista"/>
        <w:numPr>
          <w:ilvl w:val="0"/>
          <w:numId w:val="5"/>
        </w:numPr>
        <w:spacing w:after="0"/>
        <w:jc w:val="both"/>
      </w:pPr>
      <w:r>
        <w:lastRenderedPageBreak/>
        <w:t>Utilización de la misma muestra para todas las rondas entre 2002 y 2013</w:t>
      </w:r>
      <w:r w:rsidR="00DB18E6">
        <w:t>.</w:t>
      </w:r>
    </w:p>
    <w:p w:rsidR="005B5E13" w:rsidRPr="00A16165" w:rsidRDefault="00CF3D79" w:rsidP="005B5E13">
      <w:pPr>
        <w:pStyle w:val="Prrafodelista"/>
        <w:numPr>
          <w:ilvl w:val="0"/>
          <w:numId w:val="5"/>
        </w:numPr>
        <w:spacing w:after="0"/>
        <w:jc w:val="both"/>
      </w:pPr>
      <w:r w:rsidRPr="00A16165">
        <w:t>Marco de Muestreo de Lista incompleto.</w:t>
      </w:r>
    </w:p>
    <w:p w:rsidR="005B5E13" w:rsidRDefault="005B5E13" w:rsidP="005B5E13">
      <w:pPr>
        <w:spacing w:after="0"/>
        <w:jc w:val="both"/>
      </w:pPr>
    </w:p>
    <w:p w:rsidR="00AC05E1" w:rsidRDefault="005B5E13" w:rsidP="005B5E13">
      <w:pPr>
        <w:spacing w:after="0"/>
        <w:jc w:val="both"/>
      </w:pPr>
      <w:r>
        <w:t xml:space="preserve">Considerando todos estos atenuantes, en el marco de la cooperación INEC-FAO realizada </w:t>
      </w:r>
      <w:r w:rsidR="00AF4333">
        <w:t>en e</w:t>
      </w:r>
      <w:r>
        <w:t xml:space="preserve">l segundo y tercer trimestre del año 2014, el INEC realizó un proceso de cambio metodológico y actualización de </w:t>
      </w:r>
      <w:r w:rsidR="003A6946">
        <w:t xml:space="preserve">la </w:t>
      </w:r>
      <w:r>
        <w:t xml:space="preserve">ESPAC, el cual contó con el desarrollo de un nuevo Marco de </w:t>
      </w:r>
      <w:r w:rsidR="00603F25">
        <w:t>M</w:t>
      </w:r>
      <w:r>
        <w:t xml:space="preserve">uestreo de áreas y una actualización completa del Marco de Lista, dando </w:t>
      </w:r>
      <w:r w:rsidR="00603F25">
        <w:t>como resultado una</w:t>
      </w:r>
      <w:r>
        <w:t xml:space="preserve"> ronda 2014 de ESPAC con sustanciales mejoras en sus estimaciones</w:t>
      </w:r>
      <w:r w:rsidR="00AC05E1">
        <w:t>, entre las cuales se encuentran:</w:t>
      </w:r>
    </w:p>
    <w:p w:rsidR="00AC05E1" w:rsidRDefault="00AC05E1" w:rsidP="005B5E13">
      <w:pPr>
        <w:spacing w:after="0"/>
        <w:jc w:val="both"/>
      </w:pPr>
    </w:p>
    <w:p w:rsidR="00991696" w:rsidRDefault="00991696" w:rsidP="00991696">
      <w:pPr>
        <w:pStyle w:val="Prrafodelista"/>
        <w:numPr>
          <w:ilvl w:val="0"/>
          <w:numId w:val="9"/>
        </w:numPr>
        <w:spacing w:after="0"/>
        <w:jc w:val="both"/>
      </w:pPr>
      <w:r>
        <w:t>El diseño muestral es estratificado, constando con 4 estratos definidos por la intensidad de uso de suelo que posee cada Unidad Mínima de Estratificación. Además, el tamaño de cada SM es inversamente proporcional a la intensidad de uso de suelo, siendo los más pequeños los SM con una intensidad de uso de suelo más elevada.</w:t>
      </w:r>
    </w:p>
    <w:p w:rsidR="00991696" w:rsidRDefault="00991696" w:rsidP="00991696">
      <w:pPr>
        <w:pStyle w:val="Prrafodelista"/>
        <w:spacing w:after="0"/>
        <w:jc w:val="both"/>
      </w:pPr>
    </w:p>
    <w:p w:rsidR="00991696" w:rsidRDefault="00AC05E1" w:rsidP="00991696">
      <w:pPr>
        <w:pStyle w:val="Prrafodelista"/>
        <w:numPr>
          <w:ilvl w:val="0"/>
          <w:numId w:val="9"/>
        </w:numPr>
        <w:spacing w:after="0"/>
        <w:jc w:val="both"/>
      </w:pPr>
      <w:r>
        <w:t xml:space="preserve">Los segmentos muestrales del nuevo Marco de Muestreo tienen límites </w:t>
      </w:r>
      <w:r w:rsidR="004967FB">
        <w:t>geométricos</w:t>
      </w:r>
      <w:r>
        <w:t>, puesto</w:t>
      </w:r>
      <w:r w:rsidR="006D5BE6">
        <w:t xml:space="preserve"> que</w:t>
      </w:r>
      <w:r>
        <w:t xml:space="preserve"> fueron construidos en función a los mapas de </w:t>
      </w:r>
      <w:r w:rsidR="006D5BE6">
        <w:t xml:space="preserve">uso y </w:t>
      </w:r>
      <w:r>
        <w:t>cobertura de suelo</w:t>
      </w:r>
      <w:r w:rsidR="00A16165">
        <w:t xml:space="preserve"> generados por un convenio entre MAGAP y MAE</w:t>
      </w:r>
      <w:r w:rsidR="00DB18E6">
        <w:t>.</w:t>
      </w:r>
    </w:p>
    <w:p w:rsidR="00991696" w:rsidRDefault="00991696" w:rsidP="00991696">
      <w:pPr>
        <w:pStyle w:val="Prrafodelista"/>
        <w:spacing w:after="0"/>
        <w:jc w:val="both"/>
      </w:pPr>
    </w:p>
    <w:p w:rsidR="00991696" w:rsidRDefault="00991696" w:rsidP="00991696">
      <w:pPr>
        <w:pStyle w:val="Prrafodelista"/>
        <w:numPr>
          <w:ilvl w:val="0"/>
          <w:numId w:val="9"/>
        </w:numPr>
        <w:spacing w:after="0"/>
        <w:jc w:val="both"/>
      </w:pPr>
      <w:r>
        <w:t>La unidad de observación son todos los terrenos que se encuentran parcialmente o totalmente contenidos en los segmentos seleccionados para la etapa de campo, a excepción de la información referente a cantidad de cabezas de ganado</w:t>
      </w:r>
      <w:r w:rsidR="006D5BE6">
        <w:t xml:space="preserve"> y empleo</w:t>
      </w:r>
      <w:r w:rsidR="00DB18E6">
        <w:t>.</w:t>
      </w:r>
    </w:p>
    <w:p w:rsidR="00991696" w:rsidRDefault="00991696" w:rsidP="00991696">
      <w:pPr>
        <w:pStyle w:val="Prrafodelista"/>
        <w:spacing w:after="0"/>
        <w:jc w:val="both"/>
      </w:pPr>
    </w:p>
    <w:p w:rsidR="00991696" w:rsidRDefault="00991696" w:rsidP="00991696">
      <w:pPr>
        <w:pStyle w:val="Prrafodelista"/>
        <w:numPr>
          <w:ilvl w:val="0"/>
          <w:numId w:val="9"/>
        </w:numPr>
        <w:spacing w:after="0"/>
        <w:jc w:val="both"/>
      </w:pPr>
      <w:r>
        <w:t xml:space="preserve">El método de estimación se </w:t>
      </w:r>
      <w:r w:rsidR="00A16165">
        <w:t xml:space="preserve">fundamenta </w:t>
      </w:r>
      <w:r>
        <w:t>en la metodología del segmento ponderado</w:t>
      </w:r>
      <w:r w:rsidR="00E11C64">
        <w:t>,</w:t>
      </w:r>
      <w:r>
        <w:t xml:space="preserve"> </w:t>
      </w:r>
      <w:r w:rsidR="00E11C64">
        <w:t>sin embargo,</w:t>
      </w:r>
      <w:r>
        <w:t xml:space="preserve"> la superficie dentro del SM se obtiene de planimetrar los terrenos investigados</w:t>
      </w:r>
      <w:r w:rsidR="00DB18E6">
        <w:t>.</w:t>
      </w:r>
    </w:p>
    <w:p w:rsidR="00991696" w:rsidRDefault="00991696" w:rsidP="00991696">
      <w:pPr>
        <w:pStyle w:val="Prrafodelista"/>
        <w:spacing w:after="0"/>
        <w:jc w:val="both"/>
      </w:pPr>
    </w:p>
    <w:p w:rsidR="005B5E13" w:rsidRDefault="00991696" w:rsidP="00991696">
      <w:pPr>
        <w:pStyle w:val="Prrafodelista"/>
        <w:numPr>
          <w:ilvl w:val="0"/>
          <w:numId w:val="9"/>
        </w:numPr>
        <w:spacing w:after="0"/>
        <w:jc w:val="both"/>
      </w:pPr>
      <w:r>
        <w:t xml:space="preserve">El Marco de Lista a utilizar fue reestructurado, considerando nuevamente los cultivos a incluirse en </w:t>
      </w:r>
      <w:r w:rsidR="00456A22">
        <w:t>él</w:t>
      </w:r>
      <w:r>
        <w:t>.</w:t>
      </w:r>
    </w:p>
    <w:p w:rsidR="005B5E13" w:rsidRDefault="005B5E13" w:rsidP="005B5E13">
      <w:pPr>
        <w:spacing w:after="0"/>
        <w:jc w:val="both"/>
      </w:pPr>
    </w:p>
    <w:p w:rsidR="005B5E13" w:rsidRDefault="005B5E13" w:rsidP="005B5E13">
      <w:pPr>
        <w:spacing w:after="0"/>
        <w:jc w:val="both"/>
      </w:pPr>
      <w:r>
        <w:t>Debido a la obsolescencia de las estimaciones motivada por la desactualización de los marcos de muestreo, cambios estructurales en los dominios de estudio de ESPAC</w:t>
      </w:r>
      <w:r w:rsidR="003A6946">
        <w:rPr>
          <w:rStyle w:val="Refdenotaalpie"/>
        </w:rPr>
        <w:footnoteReference w:id="1"/>
      </w:r>
      <w:r>
        <w:t xml:space="preserve">  y cambios metodológicos introducidos debido a las mejoras implementadas, el INEC presenta el siguiente documento en el cual se detalla el proceso desarrollado para el empalme de las series de superficie plantada y cosechada de los principales productos a nivel provincial y sus series agregadas a nivel nacional.</w:t>
      </w:r>
    </w:p>
    <w:p w:rsidR="00A94028" w:rsidRDefault="004B0E28" w:rsidP="00A94028">
      <w:pPr>
        <w:pStyle w:val="Ttulo2"/>
        <w:jc w:val="both"/>
      </w:pPr>
      <w:r>
        <w:lastRenderedPageBreak/>
        <w:t>METODOLOGÍA DE EMPALME DE SERIES ESPAC 2002 - 2014</w:t>
      </w:r>
    </w:p>
    <w:p w:rsidR="005B5E13" w:rsidRDefault="005B5E13" w:rsidP="005B5E13">
      <w:pPr>
        <w:spacing w:after="0"/>
        <w:jc w:val="both"/>
      </w:pPr>
    </w:p>
    <w:p w:rsidR="005B5E13" w:rsidRDefault="005B5E13" w:rsidP="005B5E13">
      <w:pPr>
        <w:spacing w:after="0"/>
        <w:jc w:val="both"/>
      </w:pPr>
      <w:r>
        <w:t>Para el ejercicio de empalme de las series de superficie se considera un método de empalme estructural, el cual permite mantener el comportamiento de la serie total, considerando como años bases a los años 2002 y 2014, puntos iniciales y finales de cada una de las series</w:t>
      </w:r>
      <w:r w:rsidR="00EC3F97">
        <w:rPr>
          <w:rStyle w:val="Refdenotaalpie"/>
        </w:rPr>
        <w:footnoteReference w:id="2"/>
      </w:r>
      <w:r>
        <w:t>. El modelo a utilizar se desarrolla en el documento “Alternativas metodológicas para el empalme estadístico de serie temporales</w:t>
      </w:r>
      <w:r w:rsidR="003A6946">
        <w:t>: caso Venezuela 1950-2005</w:t>
      </w:r>
      <w:r>
        <w:t xml:space="preserve">” donde </w:t>
      </w:r>
      <w:r w:rsidR="008D23D9">
        <w:t xml:space="preserve">éste </w:t>
      </w:r>
      <w:r>
        <w:t>se aplica para el empalme de las series del PIB de Venezuela para los años 1950 – 2005.</w:t>
      </w:r>
    </w:p>
    <w:p w:rsidR="005B5E13" w:rsidRDefault="005B5E13" w:rsidP="005B5E13">
      <w:pPr>
        <w:spacing w:after="0"/>
        <w:jc w:val="both"/>
      </w:pPr>
    </w:p>
    <w:p w:rsidR="008D23D9" w:rsidRDefault="005B5E13" w:rsidP="005B5E13">
      <w:pPr>
        <w:spacing w:after="0"/>
        <w:jc w:val="both"/>
      </w:pPr>
      <w:r>
        <w:t>En el mismo se expone que el objetivo del empalme es recuperar los niveles y estructura proporcional del PIB venezolano a lo largo de los años 1950-2005, en los cuales existen más de un año base bajo los cuales se calculan los indicadores para determinados periodos.</w:t>
      </w:r>
    </w:p>
    <w:p w:rsidR="008D23D9" w:rsidRDefault="008D23D9" w:rsidP="005B5E13">
      <w:pPr>
        <w:spacing w:after="0"/>
        <w:jc w:val="both"/>
      </w:pPr>
    </w:p>
    <w:p w:rsidR="005B5E13" w:rsidRDefault="005B5E13" w:rsidP="005B5E13">
      <w:pPr>
        <w:spacing w:after="0"/>
        <w:jc w:val="both"/>
      </w:pPr>
      <w:r>
        <w:t xml:space="preserve">Este método es compatible con las estimaciones resultantes de </w:t>
      </w:r>
      <w:r w:rsidR="00456A22">
        <w:t xml:space="preserve">la </w:t>
      </w:r>
      <w:r>
        <w:t>ESPAC, puesto que es una encuesta que brinda información estructural de uso y cobertura de suelo para sus dominios de estudio</w:t>
      </w:r>
      <w:r w:rsidR="00456A22">
        <w:t>, es decir</w:t>
      </w:r>
      <w:r>
        <w:t xml:space="preserve">, </w:t>
      </w:r>
      <w:r w:rsidR="004B0E28">
        <w:t xml:space="preserve">la </w:t>
      </w:r>
      <w:r>
        <w:t xml:space="preserve">ESPAC brinda información </w:t>
      </w:r>
      <w:r w:rsidR="00456A22">
        <w:t>sobre</w:t>
      </w:r>
      <w:r>
        <w:t xml:space="preserve"> qué cultivos se siembran, los dominios de estudio d</w:t>
      </w:r>
      <w:r w:rsidR="00456A22">
        <w:t>ó</w:t>
      </w:r>
      <w:r>
        <w:t>nde se siembran y sus niveles de participación proporcionales.</w:t>
      </w:r>
    </w:p>
    <w:p w:rsidR="008D23D9" w:rsidRDefault="008D23D9" w:rsidP="005B5E13">
      <w:pPr>
        <w:spacing w:after="0"/>
        <w:jc w:val="both"/>
      </w:pPr>
    </w:p>
    <w:p w:rsidR="005B5E13" w:rsidRDefault="005B5E13" w:rsidP="005B5E13">
      <w:pPr>
        <w:spacing w:after="0"/>
        <w:jc w:val="both"/>
      </w:pPr>
      <w:r>
        <w:t>La fórmula de cálculo del empalme por interpolación estructural de</w:t>
      </w:r>
      <w:r w:rsidR="00456A22">
        <w:t xml:space="preserve"> la</w:t>
      </w:r>
      <w:r>
        <w:t xml:space="preserve"> ESPAC </w:t>
      </w:r>
      <w:r w:rsidR="00456A22">
        <w:t xml:space="preserve"> expresa</w:t>
      </w:r>
      <w:r>
        <w:t>:</w:t>
      </w:r>
    </w:p>
    <w:p w:rsidR="005B5E13" w:rsidRDefault="005B5E13" w:rsidP="003A063B">
      <w:pPr>
        <w:spacing w:after="0"/>
        <w:jc w:val="both"/>
      </w:pPr>
    </w:p>
    <w:p w:rsidR="005B5E13" w:rsidRPr="005B5E13" w:rsidRDefault="00731682" w:rsidP="003A063B">
      <w:pPr>
        <w:spacing w:after="0"/>
        <w:jc w:val="both"/>
        <w:rPr>
          <w:szCs w:val="24"/>
        </w:rPr>
      </w:pPr>
      <m:oMathPara>
        <m:oMath>
          <m:sSup>
            <m:sSupPr>
              <m:ctrlPr>
                <w:rPr>
                  <w:rFonts w:ascii="Cambria Math" w:hAnsi="Cambria Math"/>
                  <w:i/>
                  <w:szCs w:val="24"/>
                </w:rPr>
              </m:ctrlPr>
            </m:sSupPr>
            <m:e>
              <m:sSub>
                <m:sSubPr>
                  <m:ctrlPr>
                    <w:rPr>
                      <w:rFonts w:ascii="Cambria Math" w:hAnsi="Cambria Math"/>
                      <w:i/>
                      <w:szCs w:val="24"/>
                    </w:rPr>
                  </m:ctrlPr>
                </m:sSubPr>
                <m:e>
                  <m:r>
                    <w:rPr>
                      <w:rFonts w:ascii="Cambria Math" w:hAnsi="Cambria Math"/>
                      <w:szCs w:val="24"/>
                    </w:rPr>
                    <m:t>ω</m:t>
                  </m:r>
                </m:e>
                <m:sub>
                  <m:r>
                    <w:rPr>
                      <w:rFonts w:ascii="Cambria Math" w:hAnsi="Cambria Math"/>
                      <w:szCs w:val="24"/>
                    </w:rPr>
                    <m:t>ij,t</m:t>
                  </m:r>
                </m:sub>
              </m:sSub>
            </m:e>
            <m:sup/>
          </m:sSup>
          <m:r>
            <w:rPr>
              <w:rFonts w:ascii="Cambria Math" w:hAnsi="Cambria Math"/>
              <w:szCs w:val="24"/>
            </w:rPr>
            <m:t xml:space="preserve">= </m:t>
          </m:r>
          <m:d>
            <m:dPr>
              <m:ctrlPr>
                <w:rPr>
                  <w:rFonts w:ascii="Cambria Math" w:hAnsi="Cambria Math"/>
                  <w:i/>
                  <w:szCs w:val="24"/>
                </w:rPr>
              </m:ctrlPr>
            </m:dPr>
            <m:e>
              <m:f>
                <m:fPr>
                  <m:ctrlPr>
                    <w:rPr>
                      <w:rFonts w:ascii="Cambria Math" w:hAnsi="Cambria Math"/>
                      <w:i/>
                      <w:szCs w:val="24"/>
                    </w:rPr>
                  </m:ctrlPr>
                </m:fPr>
                <m:num>
                  <m:sSubSup>
                    <m:sSubSupPr>
                      <m:ctrlPr>
                        <w:rPr>
                          <w:rFonts w:ascii="Cambria Math" w:hAnsi="Cambria Math"/>
                          <w:i/>
                          <w:szCs w:val="24"/>
                        </w:rPr>
                      </m:ctrlPr>
                    </m:sSubSupPr>
                    <m:e>
                      <m:r>
                        <w:rPr>
                          <w:rFonts w:ascii="Cambria Math" w:hAnsi="Cambria Math"/>
                          <w:szCs w:val="24"/>
                        </w:rPr>
                        <m:t>N</m:t>
                      </m:r>
                    </m:e>
                    <m:sub>
                      <m:sSup>
                        <m:sSupPr>
                          <m:ctrlPr>
                            <w:rPr>
                              <w:rFonts w:ascii="Cambria Math" w:hAnsi="Cambria Math"/>
                              <w:i/>
                              <w:szCs w:val="24"/>
                            </w:rPr>
                          </m:ctrlPr>
                        </m:sSupPr>
                        <m:e>
                          <m:r>
                            <w:rPr>
                              <w:rFonts w:ascii="Cambria Math" w:hAnsi="Cambria Math"/>
                              <w:szCs w:val="24"/>
                            </w:rPr>
                            <m:t>ij,t</m:t>
                          </m:r>
                        </m:e>
                        <m:sup>
                          <m:r>
                            <w:rPr>
                              <w:rFonts w:ascii="Cambria Math" w:hAnsi="Cambria Math"/>
                              <w:szCs w:val="24"/>
                            </w:rPr>
                            <m:t>1</m:t>
                          </m:r>
                        </m:sup>
                      </m:sSup>
                    </m:sub>
                    <m:sup/>
                  </m:sSubSup>
                </m:num>
                <m:den>
                  <m:sSubSup>
                    <m:sSubSupPr>
                      <m:ctrlPr>
                        <w:rPr>
                          <w:rFonts w:ascii="Cambria Math" w:hAnsi="Cambria Math"/>
                          <w:i/>
                          <w:szCs w:val="24"/>
                        </w:rPr>
                      </m:ctrlPr>
                    </m:sSubSupPr>
                    <m:e>
                      <m:r>
                        <w:rPr>
                          <w:rFonts w:ascii="Cambria Math" w:hAnsi="Cambria Math"/>
                          <w:szCs w:val="24"/>
                        </w:rPr>
                        <m:t>T</m:t>
                      </m:r>
                    </m:e>
                    <m:sub>
                      <m:r>
                        <w:rPr>
                          <w:rFonts w:ascii="Cambria Math" w:hAnsi="Cambria Math"/>
                          <w:szCs w:val="24"/>
                        </w:rPr>
                        <m:t>j,</m:t>
                      </m:r>
                      <m:sSup>
                        <m:sSupPr>
                          <m:ctrlPr>
                            <w:rPr>
                              <w:rFonts w:ascii="Cambria Math" w:hAnsi="Cambria Math"/>
                              <w:i/>
                              <w:szCs w:val="24"/>
                            </w:rPr>
                          </m:ctrlPr>
                        </m:sSupPr>
                        <m:e>
                          <m:r>
                            <w:rPr>
                              <w:rFonts w:ascii="Cambria Math" w:hAnsi="Cambria Math"/>
                              <w:szCs w:val="24"/>
                            </w:rPr>
                            <m:t>t</m:t>
                          </m:r>
                        </m:e>
                        <m:sup>
                          <m:r>
                            <w:rPr>
                              <w:rFonts w:ascii="Cambria Math" w:hAnsi="Cambria Math"/>
                              <w:szCs w:val="24"/>
                            </w:rPr>
                            <m:t>1</m:t>
                          </m:r>
                        </m:sup>
                      </m:sSup>
                    </m:sub>
                    <m:sup/>
                  </m:sSubSup>
                </m:den>
              </m:f>
              <m:r>
                <w:rPr>
                  <w:rFonts w:ascii="Cambria Math" w:hAnsi="Cambria Math"/>
                  <w:szCs w:val="24"/>
                </w:rPr>
                <m:t>-</m:t>
              </m:r>
              <m:f>
                <m:fPr>
                  <m:ctrlPr>
                    <w:rPr>
                      <w:rFonts w:ascii="Cambria Math" w:hAnsi="Cambria Math"/>
                      <w:i/>
                      <w:szCs w:val="24"/>
                    </w:rPr>
                  </m:ctrlPr>
                </m:fPr>
                <m:num>
                  <m:sSubSup>
                    <m:sSubSupPr>
                      <m:ctrlPr>
                        <w:rPr>
                          <w:rFonts w:ascii="Cambria Math" w:hAnsi="Cambria Math"/>
                          <w:i/>
                          <w:szCs w:val="24"/>
                        </w:rPr>
                      </m:ctrlPr>
                    </m:sSubSupPr>
                    <m:e>
                      <m:r>
                        <w:rPr>
                          <w:rFonts w:ascii="Cambria Math" w:hAnsi="Cambria Math"/>
                          <w:szCs w:val="24"/>
                        </w:rPr>
                        <m:t>N</m:t>
                      </m:r>
                    </m:e>
                    <m:sub>
                      <m:sSup>
                        <m:sSupPr>
                          <m:ctrlPr>
                            <w:rPr>
                              <w:rFonts w:ascii="Cambria Math" w:hAnsi="Cambria Math"/>
                              <w:i/>
                              <w:szCs w:val="24"/>
                            </w:rPr>
                          </m:ctrlPr>
                        </m:sSupPr>
                        <m:e>
                          <m:r>
                            <w:rPr>
                              <w:rFonts w:ascii="Cambria Math" w:hAnsi="Cambria Math"/>
                              <w:szCs w:val="24"/>
                            </w:rPr>
                            <m:t>ij, t</m:t>
                          </m:r>
                        </m:e>
                        <m:sup>
                          <m:r>
                            <w:rPr>
                              <w:rFonts w:ascii="Cambria Math" w:hAnsi="Cambria Math"/>
                              <w:szCs w:val="24"/>
                            </w:rPr>
                            <m:t>0</m:t>
                          </m:r>
                        </m:sup>
                      </m:sSup>
                    </m:sub>
                    <m:sup/>
                  </m:sSubSup>
                </m:num>
                <m:den>
                  <m:sSubSup>
                    <m:sSubSupPr>
                      <m:ctrlPr>
                        <w:rPr>
                          <w:rFonts w:ascii="Cambria Math" w:hAnsi="Cambria Math"/>
                          <w:i/>
                          <w:szCs w:val="24"/>
                        </w:rPr>
                      </m:ctrlPr>
                    </m:sSubSupPr>
                    <m:e>
                      <m:r>
                        <w:rPr>
                          <w:rFonts w:ascii="Cambria Math" w:hAnsi="Cambria Math"/>
                          <w:szCs w:val="24"/>
                        </w:rPr>
                        <m:t>T</m:t>
                      </m:r>
                    </m:e>
                    <m:sub>
                      <m:r>
                        <w:rPr>
                          <w:rFonts w:ascii="Cambria Math" w:hAnsi="Cambria Math"/>
                          <w:szCs w:val="24"/>
                        </w:rPr>
                        <m:t>j,</m:t>
                      </m:r>
                      <m:sSup>
                        <m:sSupPr>
                          <m:ctrlPr>
                            <w:rPr>
                              <w:rFonts w:ascii="Cambria Math" w:hAnsi="Cambria Math"/>
                              <w:i/>
                              <w:szCs w:val="24"/>
                            </w:rPr>
                          </m:ctrlPr>
                        </m:sSupPr>
                        <m:e>
                          <m:r>
                            <w:rPr>
                              <w:rFonts w:ascii="Cambria Math" w:hAnsi="Cambria Math"/>
                              <w:szCs w:val="24"/>
                            </w:rPr>
                            <m:t>t</m:t>
                          </m:r>
                        </m:e>
                        <m:sup>
                          <m:r>
                            <w:rPr>
                              <w:rFonts w:ascii="Cambria Math" w:hAnsi="Cambria Math"/>
                              <w:szCs w:val="24"/>
                            </w:rPr>
                            <m:t>0</m:t>
                          </m:r>
                        </m:sup>
                      </m:sSup>
                    </m:sub>
                    <m:sup/>
                  </m:sSubSup>
                </m:den>
              </m:f>
            </m:e>
          </m:d>
          <m:r>
            <w:rPr>
              <w:rFonts w:ascii="Cambria Math" w:hAnsi="Cambria Math"/>
              <w:szCs w:val="24"/>
            </w:rPr>
            <m:t>∙</m:t>
          </m:r>
          <m:sSup>
            <m:sSupPr>
              <m:ctrlPr>
                <w:rPr>
                  <w:rFonts w:ascii="Cambria Math" w:hAnsi="Cambria Math"/>
                  <w:i/>
                  <w:szCs w:val="24"/>
                </w:rPr>
              </m:ctrlPr>
            </m:sSupPr>
            <m:e>
              <m:d>
                <m:dPr>
                  <m:ctrlPr>
                    <w:rPr>
                      <w:rFonts w:ascii="Cambria Math" w:hAnsi="Cambria Math"/>
                      <w:i/>
                      <w:szCs w:val="24"/>
                    </w:rPr>
                  </m:ctrlPr>
                </m:dPr>
                <m:e>
                  <m:f>
                    <m:fPr>
                      <m:ctrlPr>
                        <w:rPr>
                          <w:rFonts w:ascii="Cambria Math" w:hAnsi="Cambria Math"/>
                          <w:i/>
                          <w:szCs w:val="24"/>
                        </w:rPr>
                      </m:ctrlPr>
                    </m:fPr>
                    <m:num>
                      <m:r>
                        <w:rPr>
                          <w:rFonts w:ascii="Cambria Math" w:hAnsi="Cambria Math"/>
                          <w:szCs w:val="24"/>
                        </w:rPr>
                        <m:t xml:space="preserve">t- </m:t>
                      </m:r>
                      <m:sSup>
                        <m:sSupPr>
                          <m:ctrlPr>
                            <w:rPr>
                              <w:rFonts w:ascii="Cambria Math" w:hAnsi="Cambria Math"/>
                              <w:i/>
                              <w:szCs w:val="24"/>
                            </w:rPr>
                          </m:ctrlPr>
                        </m:sSupPr>
                        <m:e>
                          <m:r>
                            <w:rPr>
                              <w:rFonts w:ascii="Cambria Math" w:hAnsi="Cambria Math"/>
                              <w:szCs w:val="24"/>
                            </w:rPr>
                            <m:t>t</m:t>
                          </m:r>
                        </m:e>
                        <m:sup>
                          <m:r>
                            <w:rPr>
                              <w:rFonts w:ascii="Cambria Math" w:hAnsi="Cambria Math"/>
                              <w:szCs w:val="24"/>
                            </w:rPr>
                            <m:t>0</m:t>
                          </m:r>
                        </m:sup>
                      </m:sSup>
                    </m:num>
                    <m:den>
                      <m:sSup>
                        <m:sSupPr>
                          <m:ctrlPr>
                            <w:rPr>
                              <w:rFonts w:ascii="Cambria Math" w:hAnsi="Cambria Math"/>
                              <w:i/>
                              <w:szCs w:val="24"/>
                            </w:rPr>
                          </m:ctrlPr>
                        </m:sSupPr>
                        <m:e>
                          <m:r>
                            <w:rPr>
                              <w:rFonts w:ascii="Cambria Math" w:hAnsi="Cambria Math"/>
                              <w:szCs w:val="24"/>
                            </w:rPr>
                            <m:t>t</m:t>
                          </m:r>
                        </m:e>
                        <m:sup>
                          <m:r>
                            <w:rPr>
                              <w:rFonts w:ascii="Cambria Math" w:hAnsi="Cambria Math"/>
                              <w:szCs w:val="24"/>
                            </w:rPr>
                            <m:t>0</m:t>
                          </m:r>
                        </m:sup>
                      </m:sSup>
                      <m:r>
                        <w:rPr>
                          <w:rFonts w:ascii="Cambria Math" w:hAnsi="Cambria Math"/>
                          <w:szCs w:val="24"/>
                        </w:rPr>
                        <m:t xml:space="preserve">- </m:t>
                      </m:r>
                      <m:sSup>
                        <m:sSupPr>
                          <m:ctrlPr>
                            <w:rPr>
                              <w:rFonts w:ascii="Cambria Math" w:hAnsi="Cambria Math"/>
                              <w:i/>
                              <w:szCs w:val="24"/>
                            </w:rPr>
                          </m:ctrlPr>
                        </m:sSupPr>
                        <m:e>
                          <m:r>
                            <w:rPr>
                              <w:rFonts w:ascii="Cambria Math" w:hAnsi="Cambria Math"/>
                              <w:szCs w:val="24"/>
                            </w:rPr>
                            <m:t>t</m:t>
                          </m:r>
                        </m:e>
                        <m:sup>
                          <m:r>
                            <w:rPr>
                              <w:rFonts w:ascii="Cambria Math" w:hAnsi="Cambria Math"/>
                              <w:szCs w:val="24"/>
                            </w:rPr>
                            <m:t>1</m:t>
                          </m:r>
                        </m:sup>
                      </m:sSup>
                    </m:den>
                  </m:f>
                </m:e>
              </m:d>
            </m:e>
            <m:sup>
              <m:r>
                <w:rPr>
                  <w:rFonts w:ascii="Cambria Math" w:hAnsi="Cambria Math"/>
                  <w:szCs w:val="24"/>
                </w:rPr>
                <m:t>-</m:t>
              </m:r>
              <m:f>
                <m:fPr>
                  <m:type m:val="skw"/>
                  <m:ctrlPr>
                    <w:rPr>
                      <w:rFonts w:ascii="Cambria Math" w:hAnsi="Cambria Math"/>
                      <w:i/>
                      <w:szCs w:val="24"/>
                    </w:rPr>
                  </m:ctrlPr>
                </m:fPr>
                <m:num>
                  <m:r>
                    <w:rPr>
                      <w:rFonts w:ascii="Cambria Math" w:hAnsi="Cambria Math"/>
                      <w:szCs w:val="24"/>
                    </w:rPr>
                    <m:t>1</m:t>
                  </m:r>
                </m:num>
                <m:den>
                  <m:func>
                    <m:funcPr>
                      <m:ctrlPr>
                        <w:rPr>
                          <w:rFonts w:ascii="Cambria Math" w:hAnsi="Cambria Math"/>
                          <w:szCs w:val="24"/>
                        </w:rPr>
                      </m:ctrlPr>
                    </m:funcPr>
                    <m:fName>
                      <m:r>
                        <m:rPr>
                          <m:sty m:val="p"/>
                        </m:rPr>
                        <w:rPr>
                          <w:rFonts w:ascii="Cambria Math" w:hAnsi="Cambria Math"/>
                          <w:szCs w:val="24"/>
                        </w:rPr>
                        <m:t>ln</m:t>
                      </m:r>
                    </m:fName>
                    <m:e>
                      <m:d>
                        <m:dPr>
                          <m:ctrlPr>
                            <w:rPr>
                              <w:rFonts w:ascii="Cambria Math" w:hAnsi="Cambria Math"/>
                              <w:i/>
                              <w:szCs w:val="24"/>
                            </w:rPr>
                          </m:ctrlPr>
                        </m:dPr>
                        <m:e>
                          <m:r>
                            <w:rPr>
                              <w:rFonts w:ascii="Cambria Math" w:hAnsi="Cambria Math"/>
                              <w:szCs w:val="24"/>
                            </w:rPr>
                            <m:t>∝</m:t>
                          </m:r>
                        </m:e>
                      </m:d>
                    </m:e>
                  </m:func>
                </m:den>
              </m:f>
            </m:sup>
          </m:sSup>
          <m:r>
            <w:rPr>
              <w:rFonts w:ascii="Cambria Math" w:hAnsi="Cambria Math"/>
              <w:szCs w:val="24"/>
            </w:rPr>
            <m:t xml:space="preserve"> + </m:t>
          </m:r>
          <m:f>
            <m:fPr>
              <m:ctrlPr>
                <w:rPr>
                  <w:rFonts w:ascii="Cambria Math" w:hAnsi="Cambria Math"/>
                  <w:i/>
                  <w:szCs w:val="24"/>
                </w:rPr>
              </m:ctrlPr>
            </m:fPr>
            <m:num>
              <m:sSubSup>
                <m:sSubSupPr>
                  <m:ctrlPr>
                    <w:rPr>
                      <w:rFonts w:ascii="Cambria Math" w:hAnsi="Cambria Math"/>
                      <w:i/>
                      <w:szCs w:val="24"/>
                    </w:rPr>
                  </m:ctrlPr>
                </m:sSubSupPr>
                <m:e>
                  <m:r>
                    <w:rPr>
                      <w:rFonts w:ascii="Cambria Math" w:hAnsi="Cambria Math"/>
                      <w:szCs w:val="24"/>
                    </w:rPr>
                    <m:t>N</m:t>
                  </m:r>
                </m:e>
                <m:sub>
                  <m:sSup>
                    <m:sSupPr>
                      <m:ctrlPr>
                        <w:rPr>
                          <w:rFonts w:ascii="Cambria Math" w:hAnsi="Cambria Math"/>
                          <w:i/>
                          <w:szCs w:val="24"/>
                        </w:rPr>
                      </m:ctrlPr>
                    </m:sSupPr>
                    <m:e>
                      <m:r>
                        <w:rPr>
                          <w:rFonts w:ascii="Cambria Math" w:hAnsi="Cambria Math"/>
                          <w:szCs w:val="24"/>
                        </w:rPr>
                        <m:t>ij, t</m:t>
                      </m:r>
                    </m:e>
                    <m:sup>
                      <m:r>
                        <w:rPr>
                          <w:rFonts w:ascii="Cambria Math" w:hAnsi="Cambria Math"/>
                          <w:szCs w:val="24"/>
                        </w:rPr>
                        <m:t>1</m:t>
                      </m:r>
                    </m:sup>
                  </m:sSup>
                </m:sub>
                <m:sup/>
              </m:sSubSup>
            </m:num>
            <m:den>
              <m:sSubSup>
                <m:sSubSupPr>
                  <m:ctrlPr>
                    <w:rPr>
                      <w:rFonts w:ascii="Cambria Math" w:hAnsi="Cambria Math"/>
                      <w:i/>
                      <w:szCs w:val="24"/>
                    </w:rPr>
                  </m:ctrlPr>
                </m:sSubSupPr>
                <m:e>
                  <m:r>
                    <w:rPr>
                      <w:rFonts w:ascii="Cambria Math" w:hAnsi="Cambria Math"/>
                      <w:szCs w:val="24"/>
                    </w:rPr>
                    <m:t>T</m:t>
                  </m:r>
                </m:e>
                <m:sub>
                  <m:r>
                    <w:rPr>
                      <w:rFonts w:ascii="Cambria Math" w:hAnsi="Cambria Math"/>
                      <w:szCs w:val="24"/>
                    </w:rPr>
                    <m:t>j,</m:t>
                  </m:r>
                  <m:sSup>
                    <m:sSupPr>
                      <m:ctrlPr>
                        <w:rPr>
                          <w:rFonts w:ascii="Cambria Math" w:hAnsi="Cambria Math"/>
                          <w:i/>
                          <w:szCs w:val="24"/>
                        </w:rPr>
                      </m:ctrlPr>
                    </m:sSupPr>
                    <m:e>
                      <m:r>
                        <w:rPr>
                          <w:rFonts w:ascii="Cambria Math" w:hAnsi="Cambria Math"/>
                          <w:szCs w:val="24"/>
                        </w:rPr>
                        <m:t>t</m:t>
                      </m:r>
                    </m:e>
                    <m:sup>
                      <m:r>
                        <w:rPr>
                          <w:rFonts w:ascii="Cambria Math" w:hAnsi="Cambria Math"/>
                          <w:szCs w:val="24"/>
                        </w:rPr>
                        <m:t>0</m:t>
                      </m:r>
                    </m:sup>
                  </m:sSup>
                </m:sub>
                <m:sup/>
              </m:sSubSup>
            </m:den>
          </m:f>
        </m:oMath>
      </m:oMathPara>
    </w:p>
    <w:p w:rsidR="005B5E13" w:rsidRDefault="005B5E13" w:rsidP="003A063B">
      <w:pPr>
        <w:spacing w:after="0"/>
        <w:jc w:val="both"/>
      </w:pPr>
    </w:p>
    <w:p w:rsidR="005B5E13" w:rsidRDefault="005B5E13" w:rsidP="003A063B">
      <w:pPr>
        <w:spacing w:after="0"/>
        <w:jc w:val="both"/>
      </w:pPr>
      <w:r>
        <w:t>D</w:t>
      </w:r>
      <w:r w:rsidR="00456A22">
        <w:t>ó</w:t>
      </w:r>
      <w:r>
        <w:t>nde:</w:t>
      </w:r>
    </w:p>
    <w:p w:rsidR="005B5E13" w:rsidRDefault="005B5E13" w:rsidP="003A063B">
      <w:pPr>
        <w:spacing w:after="0"/>
        <w:jc w:val="both"/>
      </w:pPr>
    </w:p>
    <w:p w:rsidR="005B5E13" w:rsidRPr="005B5E13" w:rsidRDefault="00731682" w:rsidP="003A063B">
      <w:pPr>
        <w:spacing w:after="0"/>
        <w:jc w:val="both"/>
        <w:rPr>
          <w:i/>
          <w:sz w:val="18"/>
        </w:rPr>
      </w:pPr>
      <m:oMathPara>
        <m:oMathParaPr>
          <m:jc m:val="left"/>
        </m:oMathParaPr>
        <m:oMath>
          <m:m>
            <m:mPr>
              <m:mcs>
                <m:mc>
                  <m:mcPr>
                    <m:count m:val="1"/>
                    <m:mcJc m:val="left"/>
                  </m:mcPr>
                </m:mc>
                <m:mc>
                  <m:mcPr>
                    <m:count m:val="1"/>
                    <m:mcJc m:val="center"/>
                  </m:mcPr>
                </m:mc>
                <m:mc>
                  <m:mcPr>
                    <m:count m:val="1"/>
                    <m:mcJc m:val="left"/>
                  </m:mcPr>
                </m:mc>
              </m:mcs>
              <m:ctrlPr>
                <w:rPr>
                  <w:rFonts w:ascii="Cambria Math" w:hAnsi="Cambria Math"/>
                  <w:i/>
                  <w:sz w:val="20"/>
                  <w:szCs w:val="24"/>
                </w:rPr>
              </m:ctrlPr>
            </m:mPr>
            <m:mr>
              <m:e>
                <m:sSub>
                  <m:sSubPr>
                    <m:ctrlPr>
                      <w:rPr>
                        <w:rFonts w:ascii="Cambria Math" w:hAnsi="Cambria Math"/>
                        <w:i/>
                        <w:sz w:val="20"/>
                        <w:szCs w:val="24"/>
                      </w:rPr>
                    </m:ctrlPr>
                  </m:sSubPr>
                  <m:e>
                    <m:r>
                      <w:rPr>
                        <w:rFonts w:ascii="Cambria Math" w:hAnsi="Cambria Math"/>
                        <w:sz w:val="20"/>
                        <w:szCs w:val="24"/>
                      </w:rPr>
                      <m:t>ω</m:t>
                    </m:r>
                  </m:e>
                  <m:sub>
                    <m:r>
                      <w:rPr>
                        <w:rFonts w:ascii="Cambria Math" w:hAnsi="Cambria Math"/>
                        <w:sz w:val="20"/>
                        <w:szCs w:val="24"/>
                      </w:rPr>
                      <m:t>ij,t</m:t>
                    </m:r>
                  </m:sub>
                </m:sSub>
              </m:e>
              <m:e>
                <m:r>
                  <w:rPr>
                    <w:rFonts w:ascii="Cambria Math" w:hAnsi="Cambria Math"/>
                    <w:sz w:val="20"/>
                    <w:szCs w:val="24"/>
                  </w:rPr>
                  <m:t>=</m:t>
                </m:r>
              </m:e>
              <m:e>
                <m:r>
                  <w:rPr>
                    <w:rFonts w:ascii="Cambria Math" w:hAnsi="Cambria Math"/>
                    <w:sz w:val="20"/>
                    <w:szCs w:val="24"/>
                  </w:rPr>
                  <m:t>Disposición estructural de la superficie del cultivo j  en el i-ésimo dominio en el</m:t>
                </m:r>
              </m:e>
            </m:mr>
            <m:mr>
              <m:e/>
              <m:e/>
              <m:e>
                <m:r>
                  <w:rPr>
                    <w:rFonts w:ascii="Cambria Math" w:hAnsi="Cambria Math"/>
                    <w:sz w:val="20"/>
                    <w:szCs w:val="24"/>
                  </w:rPr>
                  <m:t>periodo de tiempo t .</m:t>
                </m:r>
              </m:e>
            </m:mr>
            <m:mr>
              <m:e>
                <m:sSubSup>
                  <m:sSubSupPr>
                    <m:ctrlPr>
                      <w:rPr>
                        <w:rFonts w:ascii="Cambria Math" w:hAnsi="Cambria Math"/>
                        <w:i/>
                        <w:sz w:val="20"/>
                        <w:szCs w:val="24"/>
                      </w:rPr>
                    </m:ctrlPr>
                  </m:sSubSupPr>
                  <m:e>
                    <m:r>
                      <w:rPr>
                        <w:rFonts w:ascii="Cambria Math" w:hAnsi="Cambria Math"/>
                        <w:sz w:val="20"/>
                        <w:szCs w:val="24"/>
                      </w:rPr>
                      <m:t>N</m:t>
                    </m:r>
                  </m:e>
                  <m:sub>
                    <m:sSup>
                      <m:sSupPr>
                        <m:ctrlPr>
                          <w:rPr>
                            <w:rFonts w:ascii="Cambria Math" w:hAnsi="Cambria Math"/>
                            <w:i/>
                            <w:sz w:val="20"/>
                            <w:szCs w:val="24"/>
                          </w:rPr>
                        </m:ctrlPr>
                      </m:sSupPr>
                      <m:e>
                        <m:r>
                          <w:rPr>
                            <w:rFonts w:ascii="Cambria Math" w:hAnsi="Cambria Math"/>
                            <w:sz w:val="20"/>
                            <w:szCs w:val="24"/>
                          </w:rPr>
                          <m:t>ij, t</m:t>
                        </m:r>
                      </m:e>
                      <m:sup>
                        <m:r>
                          <w:rPr>
                            <w:rFonts w:ascii="Cambria Math" w:hAnsi="Cambria Math"/>
                            <w:sz w:val="20"/>
                            <w:szCs w:val="24"/>
                          </w:rPr>
                          <m:t>1</m:t>
                        </m:r>
                      </m:sup>
                    </m:sSup>
                  </m:sub>
                  <m:sup/>
                </m:sSubSup>
              </m:e>
              <m:e>
                <m:r>
                  <w:rPr>
                    <w:rFonts w:ascii="Cambria Math" w:hAnsi="Cambria Math"/>
                    <w:sz w:val="20"/>
                    <w:szCs w:val="24"/>
                  </w:rPr>
                  <m:t>=</m:t>
                </m:r>
              </m:e>
              <m:e>
                <m:r>
                  <w:rPr>
                    <w:rFonts w:ascii="Cambria Math" w:hAnsi="Cambria Math"/>
                    <w:sz w:val="20"/>
                    <w:szCs w:val="24"/>
                  </w:rPr>
                  <m:t xml:space="preserve">Superficie del cultivo j en el i-ésimo dominio en el año base </m:t>
                </m:r>
                <m:sSup>
                  <m:sSupPr>
                    <m:ctrlPr>
                      <w:rPr>
                        <w:rFonts w:ascii="Cambria Math" w:hAnsi="Cambria Math"/>
                        <w:i/>
                        <w:sz w:val="20"/>
                        <w:szCs w:val="24"/>
                      </w:rPr>
                    </m:ctrlPr>
                  </m:sSupPr>
                  <m:e>
                    <m:r>
                      <w:rPr>
                        <w:rFonts w:ascii="Cambria Math" w:hAnsi="Cambria Math"/>
                        <w:sz w:val="20"/>
                        <w:szCs w:val="24"/>
                      </w:rPr>
                      <m:t>t</m:t>
                    </m:r>
                  </m:e>
                  <m:sup>
                    <m:r>
                      <w:rPr>
                        <w:rFonts w:ascii="Cambria Math" w:hAnsi="Cambria Math"/>
                        <w:sz w:val="20"/>
                        <w:szCs w:val="24"/>
                      </w:rPr>
                      <m:t>1</m:t>
                    </m:r>
                  </m:sup>
                </m:sSup>
                <m:r>
                  <w:rPr>
                    <w:rFonts w:ascii="Cambria Math" w:hAnsi="Cambria Math"/>
                    <w:sz w:val="20"/>
                    <w:szCs w:val="24"/>
                  </w:rPr>
                  <m:t>.</m:t>
                </m:r>
                <m:ctrlPr>
                  <w:rPr>
                    <w:rFonts w:ascii="Cambria Math" w:eastAsia="Cambria Math" w:hAnsi="Cambria Math" w:cs="Cambria Math"/>
                    <w:i/>
                    <w:sz w:val="20"/>
                    <w:szCs w:val="24"/>
                  </w:rPr>
                </m:ctrlPr>
              </m:e>
            </m:mr>
            <m:mr>
              <m:e>
                <m:sSubSup>
                  <m:sSubSupPr>
                    <m:ctrlPr>
                      <w:rPr>
                        <w:rFonts w:ascii="Cambria Math" w:hAnsi="Cambria Math"/>
                        <w:i/>
                        <w:sz w:val="20"/>
                        <w:szCs w:val="24"/>
                      </w:rPr>
                    </m:ctrlPr>
                  </m:sSubSupPr>
                  <m:e>
                    <m:r>
                      <w:rPr>
                        <w:rFonts w:ascii="Cambria Math" w:hAnsi="Cambria Math"/>
                        <w:sz w:val="20"/>
                        <w:szCs w:val="24"/>
                      </w:rPr>
                      <m:t>T</m:t>
                    </m:r>
                  </m:e>
                  <m:sub>
                    <m:r>
                      <w:rPr>
                        <w:rFonts w:ascii="Cambria Math" w:hAnsi="Cambria Math"/>
                        <w:sz w:val="20"/>
                        <w:szCs w:val="24"/>
                      </w:rPr>
                      <m:t>j,</m:t>
                    </m:r>
                    <m:sSup>
                      <m:sSupPr>
                        <m:ctrlPr>
                          <w:rPr>
                            <w:rFonts w:ascii="Cambria Math" w:hAnsi="Cambria Math"/>
                            <w:i/>
                            <w:sz w:val="20"/>
                            <w:szCs w:val="24"/>
                          </w:rPr>
                        </m:ctrlPr>
                      </m:sSupPr>
                      <m:e>
                        <m:r>
                          <w:rPr>
                            <w:rFonts w:ascii="Cambria Math" w:hAnsi="Cambria Math"/>
                            <w:sz w:val="20"/>
                            <w:szCs w:val="24"/>
                          </w:rPr>
                          <m:t>t</m:t>
                        </m:r>
                      </m:e>
                      <m:sup>
                        <m:r>
                          <w:rPr>
                            <w:rFonts w:ascii="Cambria Math" w:hAnsi="Cambria Math"/>
                            <w:sz w:val="20"/>
                            <w:szCs w:val="24"/>
                          </w:rPr>
                          <m:t>1</m:t>
                        </m:r>
                      </m:sup>
                    </m:sSup>
                  </m:sub>
                  <m:sup/>
                </m:sSubSup>
                <m:ctrlPr>
                  <w:rPr>
                    <w:rFonts w:ascii="Cambria Math" w:eastAsia="Cambria Math" w:hAnsi="Cambria Math" w:cs="Cambria Math"/>
                    <w:i/>
                    <w:sz w:val="20"/>
                    <w:szCs w:val="24"/>
                  </w:rPr>
                </m:ctrlPr>
              </m:e>
              <m:e>
                <m:r>
                  <w:rPr>
                    <w:rFonts w:ascii="Cambria Math" w:eastAsia="Cambria Math" w:hAnsi="Cambria Math" w:cs="Cambria Math"/>
                    <w:sz w:val="20"/>
                    <w:szCs w:val="24"/>
                  </w:rPr>
                  <m:t>=</m:t>
                </m:r>
                <m:ctrlPr>
                  <w:rPr>
                    <w:rFonts w:ascii="Cambria Math" w:eastAsia="Cambria Math" w:hAnsi="Cambria Math" w:cs="Cambria Math"/>
                    <w:i/>
                    <w:sz w:val="20"/>
                    <w:szCs w:val="24"/>
                  </w:rPr>
                </m:ctrlPr>
              </m:e>
              <m:e>
                <m:r>
                  <w:rPr>
                    <w:rFonts w:ascii="Cambria Math" w:eastAsia="Cambria Math" w:hAnsi="Cambria Math" w:cs="Cambria Math"/>
                    <w:sz w:val="20"/>
                    <w:szCs w:val="24"/>
                  </w:rPr>
                  <m:t xml:space="preserve">Superficie del cultivo j a nivel nacional en el año base </m:t>
                </m:r>
                <m:sSup>
                  <m:sSupPr>
                    <m:ctrlPr>
                      <w:rPr>
                        <w:rFonts w:ascii="Cambria Math" w:eastAsia="Cambria Math" w:hAnsi="Cambria Math" w:cs="Cambria Math"/>
                        <w:i/>
                        <w:sz w:val="20"/>
                        <w:szCs w:val="24"/>
                      </w:rPr>
                    </m:ctrlPr>
                  </m:sSupPr>
                  <m:e>
                    <m:r>
                      <w:rPr>
                        <w:rFonts w:ascii="Cambria Math" w:eastAsia="Cambria Math" w:hAnsi="Cambria Math" w:cs="Cambria Math"/>
                        <w:sz w:val="20"/>
                        <w:szCs w:val="24"/>
                      </w:rPr>
                      <m:t>t</m:t>
                    </m:r>
                  </m:e>
                  <m:sup>
                    <m:r>
                      <w:rPr>
                        <w:rFonts w:ascii="Cambria Math" w:eastAsia="Cambria Math" w:hAnsi="Cambria Math" w:cs="Cambria Math"/>
                        <w:sz w:val="20"/>
                        <w:szCs w:val="24"/>
                      </w:rPr>
                      <m:t>1</m:t>
                    </m:r>
                  </m:sup>
                </m:sSup>
                <m:r>
                  <w:rPr>
                    <w:rFonts w:ascii="Cambria Math" w:eastAsia="Cambria Math" w:hAnsi="Cambria Math" w:cs="Cambria Math"/>
                    <w:sz w:val="20"/>
                    <w:szCs w:val="24"/>
                  </w:rPr>
                  <m:t>.</m:t>
                </m:r>
                <m:ctrlPr>
                  <w:rPr>
                    <w:rFonts w:ascii="Cambria Math" w:eastAsia="Cambria Math" w:hAnsi="Cambria Math" w:cs="Cambria Math"/>
                    <w:i/>
                    <w:sz w:val="20"/>
                    <w:szCs w:val="24"/>
                  </w:rPr>
                </m:ctrlPr>
              </m:e>
            </m:mr>
            <m:mr>
              <m:e>
                <m:sSubSup>
                  <m:sSubSupPr>
                    <m:ctrlPr>
                      <w:rPr>
                        <w:rFonts w:ascii="Cambria Math" w:hAnsi="Cambria Math"/>
                        <w:i/>
                        <w:sz w:val="20"/>
                        <w:szCs w:val="24"/>
                      </w:rPr>
                    </m:ctrlPr>
                  </m:sSubSupPr>
                  <m:e>
                    <m:r>
                      <w:rPr>
                        <w:rFonts w:ascii="Cambria Math" w:hAnsi="Cambria Math"/>
                        <w:sz w:val="20"/>
                        <w:szCs w:val="24"/>
                      </w:rPr>
                      <m:t>N</m:t>
                    </m:r>
                  </m:e>
                  <m:sub>
                    <m:sSup>
                      <m:sSupPr>
                        <m:ctrlPr>
                          <w:rPr>
                            <w:rFonts w:ascii="Cambria Math" w:hAnsi="Cambria Math"/>
                            <w:i/>
                            <w:sz w:val="20"/>
                            <w:szCs w:val="24"/>
                          </w:rPr>
                        </m:ctrlPr>
                      </m:sSupPr>
                      <m:e>
                        <m:r>
                          <w:rPr>
                            <w:rFonts w:ascii="Cambria Math" w:hAnsi="Cambria Math"/>
                            <w:sz w:val="20"/>
                            <w:szCs w:val="24"/>
                          </w:rPr>
                          <m:t>ij, t</m:t>
                        </m:r>
                      </m:e>
                      <m:sup>
                        <m:r>
                          <w:rPr>
                            <w:rFonts w:ascii="Cambria Math" w:hAnsi="Cambria Math"/>
                            <w:sz w:val="20"/>
                            <w:szCs w:val="24"/>
                          </w:rPr>
                          <m:t>0</m:t>
                        </m:r>
                      </m:sup>
                    </m:sSup>
                  </m:sub>
                  <m:sup/>
                </m:sSubSup>
                <m:ctrlPr>
                  <w:rPr>
                    <w:rFonts w:ascii="Cambria Math" w:eastAsia="Cambria Math" w:hAnsi="Cambria Math" w:cs="Cambria Math"/>
                    <w:i/>
                    <w:sz w:val="20"/>
                    <w:szCs w:val="24"/>
                  </w:rPr>
                </m:ctrlPr>
              </m:e>
              <m:e>
                <m:r>
                  <w:rPr>
                    <w:rFonts w:ascii="Cambria Math" w:eastAsia="Cambria Math" w:hAnsi="Cambria Math" w:cs="Cambria Math"/>
                    <w:sz w:val="20"/>
                    <w:szCs w:val="24"/>
                  </w:rPr>
                  <m:t>=</m:t>
                </m:r>
                <m:ctrlPr>
                  <w:rPr>
                    <w:rFonts w:ascii="Cambria Math" w:eastAsia="Cambria Math" w:hAnsi="Cambria Math" w:cs="Cambria Math"/>
                    <w:i/>
                    <w:sz w:val="20"/>
                    <w:szCs w:val="24"/>
                  </w:rPr>
                </m:ctrlPr>
              </m:e>
              <m:e>
                <m:r>
                  <w:rPr>
                    <w:rFonts w:ascii="Cambria Math" w:hAnsi="Cambria Math"/>
                    <w:sz w:val="20"/>
                    <w:szCs w:val="24"/>
                  </w:rPr>
                  <m:t>Superficie del cultivo j en el i-ésimo do</m:t>
                </m:r>
                <m:r>
                  <w:rPr>
                    <w:rFonts w:ascii="Cambria Math" w:hAnsi="Cambria Math"/>
                    <w:sz w:val="20"/>
                    <w:szCs w:val="24"/>
                  </w:rPr>
                  <m:t xml:space="preserve">minio en el año base </m:t>
                </m:r>
                <m:sSup>
                  <m:sSupPr>
                    <m:ctrlPr>
                      <w:rPr>
                        <w:rFonts w:ascii="Cambria Math" w:hAnsi="Cambria Math"/>
                        <w:i/>
                        <w:sz w:val="20"/>
                        <w:szCs w:val="24"/>
                      </w:rPr>
                    </m:ctrlPr>
                  </m:sSupPr>
                  <m:e>
                    <m:r>
                      <w:rPr>
                        <w:rFonts w:ascii="Cambria Math" w:hAnsi="Cambria Math"/>
                        <w:sz w:val="20"/>
                        <w:szCs w:val="24"/>
                      </w:rPr>
                      <m:t>t</m:t>
                    </m:r>
                  </m:e>
                  <m:sup>
                    <m:r>
                      <w:rPr>
                        <w:rFonts w:ascii="Cambria Math" w:hAnsi="Cambria Math"/>
                        <w:sz w:val="20"/>
                        <w:szCs w:val="24"/>
                      </w:rPr>
                      <m:t>0</m:t>
                    </m:r>
                  </m:sup>
                </m:sSup>
                <m:r>
                  <w:rPr>
                    <w:rFonts w:ascii="Cambria Math" w:hAnsi="Cambria Math"/>
                    <w:sz w:val="20"/>
                    <w:szCs w:val="24"/>
                  </w:rPr>
                  <m:t>.</m:t>
                </m:r>
                <m:ctrlPr>
                  <w:rPr>
                    <w:rFonts w:ascii="Cambria Math" w:eastAsia="Cambria Math" w:hAnsi="Cambria Math" w:cs="Cambria Math"/>
                    <w:i/>
                    <w:sz w:val="20"/>
                    <w:szCs w:val="24"/>
                  </w:rPr>
                </m:ctrlPr>
              </m:e>
            </m:mr>
            <m:mr>
              <m:e>
                <m:sSubSup>
                  <m:sSubSupPr>
                    <m:ctrlPr>
                      <w:rPr>
                        <w:rFonts w:ascii="Cambria Math" w:hAnsi="Cambria Math"/>
                        <w:i/>
                        <w:sz w:val="20"/>
                        <w:szCs w:val="24"/>
                      </w:rPr>
                    </m:ctrlPr>
                  </m:sSubSupPr>
                  <m:e>
                    <m:r>
                      <w:rPr>
                        <w:rFonts w:ascii="Cambria Math" w:hAnsi="Cambria Math"/>
                        <w:sz w:val="20"/>
                        <w:szCs w:val="24"/>
                      </w:rPr>
                      <m:t>T</m:t>
                    </m:r>
                  </m:e>
                  <m:sub>
                    <m:r>
                      <w:rPr>
                        <w:rFonts w:ascii="Cambria Math" w:hAnsi="Cambria Math"/>
                        <w:sz w:val="20"/>
                        <w:szCs w:val="24"/>
                      </w:rPr>
                      <m:t>j,</m:t>
                    </m:r>
                    <m:sSup>
                      <m:sSupPr>
                        <m:ctrlPr>
                          <w:rPr>
                            <w:rFonts w:ascii="Cambria Math" w:hAnsi="Cambria Math"/>
                            <w:i/>
                            <w:sz w:val="20"/>
                            <w:szCs w:val="24"/>
                          </w:rPr>
                        </m:ctrlPr>
                      </m:sSupPr>
                      <m:e>
                        <m:r>
                          <w:rPr>
                            <w:rFonts w:ascii="Cambria Math" w:hAnsi="Cambria Math"/>
                            <w:sz w:val="20"/>
                            <w:szCs w:val="24"/>
                          </w:rPr>
                          <m:t>t</m:t>
                        </m:r>
                      </m:e>
                      <m:sup>
                        <m:r>
                          <w:rPr>
                            <w:rFonts w:ascii="Cambria Math" w:hAnsi="Cambria Math"/>
                            <w:sz w:val="20"/>
                            <w:szCs w:val="24"/>
                          </w:rPr>
                          <m:t>0</m:t>
                        </m:r>
                      </m:sup>
                    </m:sSup>
                  </m:sub>
                  <m:sup/>
                </m:sSubSup>
                <m:ctrlPr>
                  <w:rPr>
                    <w:rFonts w:ascii="Cambria Math" w:eastAsia="Cambria Math" w:hAnsi="Cambria Math" w:cs="Cambria Math"/>
                    <w:i/>
                    <w:sz w:val="20"/>
                    <w:szCs w:val="24"/>
                  </w:rPr>
                </m:ctrlPr>
              </m:e>
              <m:e>
                <m:r>
                  <w:rPr>
                    <w:rFonts w:ascii="Cambria Math" w:eastAsia="Cambria Math" w:hAnsi="Cambria Math" w:cs="Cambria Math"/>
                    <w:sz w:val="20"/>
                    <w:szCs w:val="24"/>
                  </w:rPr>
                  <m:t>=</m:t>
                </m:r>
                <m:ctrlPr>
                  <w:rPr>
                    <w:rFonts w:ascii="Cambria Math" w:eastAsia="Cambria Math" w:hAnsi="Cambria Math" w:cs="Cambria Math"/>
                    <w:i/>
                    <w:sz w:val="20"/>
                    <w:szCs w:val="24"/>
                  </w:rPr>
                </m:ctrlPr>
              </m:e>
              <m:e>
                <m:r>
                  <w:rPr>
                    <w:rFonts w:ascii="Cambria Math" w:hAnsi="Cambria Math"/>
                    <w:sz w:val="20"/>
                    <w:szCs w:val="24"/>
                  </w:rPr>
                  <m:t xml:space="preserve">Superficie del cultivo j a nivel nacional en el año base </m:t>
                </m:r>
                <m:sSup>
                  <m:sSupPr>
                    <m:ctrlPr>
                      <w:rPr>
                        <w:rFonts w:ascii="Cambria Math" w:hAnsi="Cambria Math"/>
                        <w:i/>
                        <w:sz w:val="20"/>
                        <w:szCs w:val="24"/>
                      </w:rPr>
                    </m:ctrlPr>
                  </m:sSupPr>
                  <m:e>
                    <m:r>
                      <w:rPr>
                        <w:rFonts w:ascii="Cambria Math" w:hAnsi="Cambria Math"/>
                        <w:sz w:val="20"/>
                        <w:szCs w:val="24"/>
                      </w:rPr>
                      <m:t>t</m:t>
                    </m:r>
                  </m:e>
                  <m:sup>
                    <m:r>
                      <w:rPr>
                        <w:rFonts w:ascii="Cambria Math" w:hAnsi="Cambria Math"/>
                        <w:sz w:val="20"/>
                        <w:szCs w:val="24"/>
                      </w:rPr>
                      <m:t>0</m:t>
                    </m:r>
                  </m:sup>
                </m:sSup>
                <m:r>
                  <w:rPr>
                    <w:rFonts w:ascii="Cambria Math" w:hAnsi="Cambria Math"/>
                    <w:sz w:val="20"/>
                    <w:szCs w:val="24"/>
                  </w:rPr>
                  <m:t>.</m:t>
                </m:r>
                <m:ctrlPr>
                  <w:rPr>
                    <w:rFonts w:ascii="Cambria Math" w:eastAsia="Cambria Math" w:hAnsi="Cambria Math" w:cs="Cambria Math"/>
                    <w:i/>
                    <w:sz w:val="20"/>
                    <w:szCs w:val="24"/>
                  </w:rPr>
                </m:ctrlPr>
              </m:e>
            </m:mr>
            <m:mr>
              <m:e>
                <m:ctrlPr>
                  <w:rPr>
                    <w:rFonts w:ascii="Cambria Math" w:eastAsia="Cambria Math" w:hAnsi="Cambria Math" w:cs="Cambria Math"/>
                    <w:i/>
                    <w:sz w:val="20"/>
                    <w:szCs w:val="24"/>
                  </w:rPr>
                </m:ctrlPr>
              </m:e>
              <m:e>
                <m:ctrlPr>
                  <w:rPr>
                    <w:rFonts w:ascii="Cambria Math" w:eastAsia="Cambria Math" w:hAnsi="Cambria Math" w:cs="Cambria Math"/>
                    <w:i/>
                    <w:sz w:val="20"/>
                    <w:szCs w:val="24"/>
                  </w:rPr>
                </m:ctrlPr>
              </m:e>
              <m:e>
                <m:ctrlPr>
                  <w:rPr>
                    <w:rFonts w:ascii="Cambria Math" w:eastAsia="Cambria Math" w:hAnsi="Cambria Math" w:cs="Cambria Math"/>
                    <w:i/>
                    <w:sz w:val="20"/>
                    <w:szCs w:val="24"/>
                  </w:rPr>
                </m:ctrlPr>
              </m:e>
            </m:mr>
            <m:mr>
              <m:e>
                <m:r>
                  <w:rPr>
                    <w:rFonts w:ascii="Cambria Math" w:eastAsia="Cambria Math" w:hAnsi="Cambria Math" w:cs="Cambria Math"/>
                    <w:sz w:val="20"/>
                    <w:szCs w:val="24"/>
                  </w:rPr>
                  <m:t>j</m:t>
                </m:r>
                <m:ctrlPr>
                  <w:rPr>
                    <w:rFonts w:ascii="Cambria Math" w:eastAsia="Cambria Math" w:hAnsi="Cambria Math" w:cs="Cambria Math"/>
                    <w:i/>
                    <w:sz w:val="20"/>
                    <w:szCs w:val="24"/>
                  </w:rPr>
                </m:ctrlPr>
              </m:e>
              <m:e>
                <m:r>
                  <w:rPr>
                    <w:rFonts w:ascii="Cambria Math" w:eastAsia="Cambria Math" w:hAnsi="Cambria Math" w:cs="Cambria Math"/>
                    <w:sz w:val="20"/>
                    <w:szCs w:val="24"/>
                  </w:rPr>
                  <m:t>=</m:t>
                </m:r>
                <m:ctrlPr>
                  <w:rPr>
                    <w:rFonts w:ascii="Cambria Math" w:eastAsia="Cambria Math" w:hAnsi="Cambria Math" w:cs="Cambria Math"/>
                    <w:i/>
                    <w:sz w:val="20"/>
                    <w:szCs w:val="24"/>
                  </w:rPr>
                </m:ctrlPr>
              </m:e>
              <m:e>
                <m:r>
                  <w:rPr>
                    <w:rFonts w:ascii="Cambria Math" w:eastAsia="Cambria Math" w:hAnsi="Cambria Math" w:cs="Cambria Math"/>
                    <w:sz w:val="20"/>
                    <w:szCs w:val="24"/>
                  </w:rPr>
                  <m:t xml:space="preserve">Índice que recorre los cultivo </m:t>
                </m:r>
                <m:d>
                  <m:dPr>
                    <m:ctrlPr>
                      <w:rPr>
                        <w:rFonts w:ascii="Cambria Math" w:eastAsia="Cambria Math" w:hAnsi="Cambria Math" w:cs="Cambria Math"/>
                        <w:i/>
                        <w:sz w:val="20"/>
                        <w:szCs w:val="24"/>
                      </w:rPr>
                    </m:ctrlPr>
                  </m:dPr>
                  <m:e>
                    <m:r>
                      <w:rPr>
                        <w:rFonts w:ascii="Cambria Math" w:eastAsia="Cambria Math" w:hAnsi="Cambria Math" w:cs="Cambria Math"/>
                        <w:sz w:val="20"/>
                        <w:szCs w:val="24"/>
                      </w:rPr>
                      <m:t>permanentes o transito</m:t>
                    </m:r>
                    <m:r>
                      <w:rPr>
                        <w:rFonts w:ascii="Cambria Math" w:eastAsia="Cambria Math" w:hAnsi="Cambria Math" w:cs="Cambria Math"/>
                        <w:sz w:val="20"/>
                        <w:szCs w:val="24"/>
                      </w:rPr>
                      <m:t>rios</m:t>
                    </m:r>
                  </m:e>
                </m:d>
                <m:r>
                  <w:rPr>
                    <w:rFonts w:ascii="Cambria Math" w:eastAsia="Cambria Math" w:hAnsi="Cambria Math" w:cs="Cambria Math"/>
                    <w:sz w:val="20"/>
                    <w:szCs w:val="24"/>
                  </w:rPr>
                  <m:t>a ser empalmados.</m:t>
                </m:r>
                <m:ctrlPr>
                  <w:rPr>
                    <w:rFonts w:ascii="Cambria Math" w:eastAsia="Cambria Math" w:hAnsi="Cambria Math" w:cs="Cambria Math"/>
                    <w:i/>
                    <w:sz w:val="20"/>
                    <w:szCs w:val="24"/>
                  </w:rPr>
                </m:ctrlPr>
              </m:e>
            </m:mr>
            <m:mr>
              <m:e>
                <m:r>
                  <w:rPr>
                    <w:rFonts w:ascii="Cambria Math" w:eastAsia="Cambria Math" w:hAnsi="Cambria Math" w:cs="Cambria Math"/>
                    <w:sz w:val="20"/>
                    <w:szCs w:val="24"/>
                  </w:rPr>
                  <m:t>i</m:t>
                </m:r>
                <m:ctrlPr>
                  <w:rPr>
                    <w:rFonts w:ascii="Cambria Math" w:eastAsia="Cambria Math" w:hAnsi="Cambria Math" w:cs="Cambria Math"/>
                    <w:i/>
                    <w:sz w:val="20"/>
                    <w:szCs w:val="24"/>
                  </w:rPr>
                </m:ctrlPr>
              </m:e>
              <m:e>
                <m:r>
                  <w:rPr>
                    <w:rFonts w:ascii="Cambria Math" w:eastAsia="Cambria Math" w:hAnsi="Cambria Math" w:cs="Cambria Math"/>
                    <w:sz w:val="20"/>
                    <w:szCs w:val="24"/>
                  </w:rPr>
                  <m:t>=</m:t>
                </m:r>
                <m:ctrlPr>
                  <w:rPr>
                    <w:rFonts w:ascii="Cambria Math" w:eastAsia="Cambria Math" w:hAnsi="Cambria Math" w:cs="Cambria Math"/>
                    <w:i/>
                    <w:sz w:val="20"/>
                    <w:szCs w:val="24"/>
                  </w:rPr>
                </m:ctrlPr>
              </m:e>
              <m:e>
                <m:r>
                  <w:rPr>
                    <w:rFonts w:ascii="Cambria Math" w:eastAsia="Cambria Math" w:hAnsi="Cambria Math" w:cs="Cambria Math"/>
                    <w:sz w:val="20"/>
                    <w:szCs w:val="24"/>
                  </w:rPr>
                  <m:t>Índice que reccore los dominio de estudio por cultivos a ser tratados.</m:t>
                </m:r>
                <m:ctrlPr>
                  <w:rPr>
                    <w:rFonts w:ascii="Cambria Math" w:eastAsia="Cambria Math" w:hAnsi="Cambria Math" w:cs="Cambria Math"/>
                    <w:i/>
                    <w:sz w:val="20"/>
                    <w:szCs w:val="24"/>
                  </w:rPr>
                </m:ctrlPr>
              </m:e>
            </m:mr>
            <m:mr>
              <m:e>
                <m:sSup>
                  <m:sSupPr>
                    <m:ctrlPr>
                      <w:rPr>
                        <w:rFonts w:ascii="Cambria Math" w:eastAsia="Cambria Math" w:hAnsi="Cambria Math" w:cs="Cambria Math"/>
                        <w:i/>
                        <w:sz w:val="20"/>
                        <w:szCs w:val="24"/>
                      </w:rPr>
                    </m:ctrlPr>
                  </m:sSupPr>
                  <m:e>
                    <m:r>
                      <w:rPr>
                        <w:rFonts w:ascii="Cambria Math" w:eastAsia="Cambria Math" w:hAnsi="Cambria Math" w:cs="Cambria Math"/>
                        <w:sz w:val="20"/>
                        <w:szCs w:val="24"/>
                      </w:rPr>
                      <m:t>t</m:t>
                    </m:r>
                  </m:e>
                  <m:sup>
                    <m:r>
                      <w:rPr>
                        <w:rFonts w:ascii="Cambria Math" w:eastAsia="Cambria Math" w:hAnsi="Cambria Math" w:cs="Cambria Math"/>
                        <w:sz w:val="20"/>
                        <w:szCs w:val="24"/>
                      </w:rPr>
                      <m:t>0</m:t>
                    </m:r>
                  </m:sup>
                </m:sSup>
                <m:ctrlPr>
                  <w:rPr>
                    <w:rFonts w:ascii="Cambria Math" w:eastAsia="Cambria Math" w:hAnsi="Cambria Math" w:cs="Cambria Math"/>
                    <w:i/>
                    <w:sz w:val="20"/>
                    <w:szCs w:val="24"/>
                  </w:rPr>
                </m:ctrlPr>
              </m:e>
              <m:e>
                <m:r>
                  <w:rPr>
                    <w:rFonts w:ascii="Cambria Math" w:eastAsia="Cambria Math" w:hAnsi="Cambria Math" w:cs="Cambria Math"/>
                    <w:sz w:val="20"/>
                    <w:szCs w:val="24"/>
                  </w:rPr>
                  <m:t>=</m:t>
                </m:r>
                <m:ctrlPr>
                  <w:rPr>
                    <w:rFonts w:ascii="Cambria Math" w:eastAsia="Cambria Math" w:hAnsi="Cambria Math" w:cs="Cambria Math"/>
                    <w:i/>
                    <w:sz w:val="20"/>
                    <w:szCs w:val="24"/>
                  </w:rPr>
                </m:ctrlPr>
              </m:e>
              <m:e>
                <m:r>
                  <w:rPr>
                    <w:rFonts w:ascii="Cambria Math" w:eastAsia="Cambria Math" w:hAnsi="Cambria Math" w:cs="Cambria Math"/>
                    <w:sz w:val="20"/>
                    <w:szCs w:val="24"/>
                  </w:rPr>
                  <m:t>Año base 0 (2002).</m:t>
                </m:r>
                <m:ctrlPr>
                  <w:rPr>
                    <w:rFonts w:ascii="Cambria Math" w:eastAsia="Cambria Math" w:hAnsi="Cambria Math" w:cs="Cambria Math"/>
                    <w:i/>
                    <w:sz w:val="20"/>
                    <w:szCs w:val="24"/>
                  </w:rPr>
                </m:ctrlPr>
              </m:e>
            </m:mr>
            <m:mr>
              <m:e>
                <m:sSup>
                  <m:sSupPr>
                    <m:ctrlPr>
                      <w:rPr>
                        <w:rFonts w:ascii="Cambria Math" w:eastAsia="Cambria Math" w:hAnsi="Cambria Math" w:cs="Cambria Math"/>
                        <w:i/>
                        <w:sz w:val="20"/>
                        <w:szCs w:val="24"/>
                      </w:rPr>
                    </m:ctrlPr>
                  </m:sSupPr>
                  <m:e>
                    <m:r>
                      <w:rPr>
                        <w:rFonts w:ascii="Cambria Math" w:eastAsia="Cambria Math" w:hAnsi="Cambria Math" w:cs="Cambria Math"/>
                        <w:sz w:val="20"/>
                        <w:szCs w:val="24"/>
                      </w:rPr>
                      <m:t>t</m:t>
                    </m:r>
                  </m:e>
                  <m:sup>
                    <m:r>
                      <w:rPr>
                        <w:rFonts w:ascii="Cambria Math" w:eastAsia="Cambria Math" w:hAnsi="Cambria Math" w:cs="Cambria Math"/>
                        <w:sz w:val="20"/>
                        <w:szCs w:val="24"/>
                      </w:rPr>
                      <m:t>1</m:t>
                    </m:r>
                  </m:sup>
                </m:sSup>
                <m:ctrlPr>
                  <w:rPr>
                    <w:rFonts w:ascii="Cambria Math" w:eastAsia="Cambria Math" w:hAnsi="Cambria Math" w:cs="Cambria Math"/>
                    <w:i/>
                    <w:sz w:val="20"/>
                    <w:szCs w:val="24"/>
                  </w:rPr>
                </m:ctrlPr>
              </m:e>
              <m:e>
                <m:r>
                  <w:rPr>
                    <w:rFonts w:ascii="Cambria Math" w:eastAsia="Cambria Math" w:hAnsi="Cambria Math" w:cs="Cambria Math"/>
                    <w:sz w:val="20"/>
                    <w:szCs w:val="24"/>
                  </w:rPr>
                  <m:t>=</m:t>
                </m:r>
                <m:ctrlPr>
                  <w:rPr>
                    <w:rFonts w:ascii="Cambria Math" w:eastAsia="Cambria Math" w:hAnsi="Cambria Math" w:cs="Cambria Math"/>
                    <w:i/>
                    <w:sz w:val="20"/>
                    <w:szCs w:val="24"/>
                  </w:rPr>
                </m:ctrlPr>
              </m:e>
              <m:e>
                <m:r>
                  <w:rPr>
                    <w:rFonts w:ascii="Cambria Math" w:eastAsia="Cambria Math" w:hAnsi="Cambria Math" w:cs="Cambria Math"/>
                    <w:sz w:val="20"/>
                    <w:szCs w:val="24"/>
                  </w:rPr>
                  <m:t>Año base 1 (2014).</m:t>
                </m:r>
                <m:ctrlPr>
                  <w:rPr>
                    <w:rFonts w:ascii="Cambria Math" w:eastAsia="Cambria Math" w:hAnsi="Cambria Math" w:cs="Cambria Math"/>
                    <w:i/>
                    <w:sz w:val="20"/>
                    <w:szCs w:val="24"/>
                  </w:rPr>
                </m:ctrlPr>
              </m:e>
            </m:mr>
            <m:mr>
              <m:e>
                <m:r>
                  <w:rPr>
                    <w:rFonts w:ascii="Cambria Math" w:eastAsia="Cambria Math" w:hAnsi="Cambria Math" w:cs="Cambria Math"/>
                    <w:sz w:val="20"/>
                    <w:szCs w:val="24"/>
                  </w:rPr>
                  <m:t>t</m:t>
                </m:r>
                <m:ctrlPr>
                  <w:rPr>
                    <w:rFonts w:ascii="Cambria Math" w:eastAsia="Cambria Math" w:hAnsi="Cambria Math" w:cs="Cambria Math"/>
                    <w:i/>
                    <w:sz w:val="20"/>
                    <w:szCs w:val="24"/>
                  </w:rPr>
                </m:ctrlPr>
              </m:e>
              <m:e>
                <m:r>
                  <w:rPr>
                    <w:rFonts w:ascii="Cambria Math" w:eastAsia="Cambria Math" w:hAnsi="Cambria Math" w:cs="Cambria Math"/>
                    <w:sz w:val="20"/>
                    <w:szCs w:val="24"/>
                  </w:rPr>
                  <m:t>=</m:t>
                </m:r>
                <m:ctrlPr>
                  <w:rPr>
                    <w:rFonts w:ascii="Cambria Math" w:eastAsia="Cambria Math" w:hAnsi="Cambria Math" w:cs="Cambria Math"/>
                    <w:i/>
                    <w:sz w:val="20"/>
                    <w:szCs w:val="24"/>
                  </w:rPr>
                </m:ctrlPr>
              </m:e>
              <m:e>
                <m:r>
                  <w:rPr>
                    <w:rFonts w:ascii="Cambria Math" w:eastAsia="Cambria Math" w:hAnsi="Cambria Math" w:cs="Cambria Math"/>
                    <w:sz w:val="20"/>
                    <w:szCs w:val="24"/>
                  </w:rPr>
                  <m:t>Años comprendid</m:t>
                </m:r>
                <m:r>
                  <w:rPr>
                    <w:rFonts w:ascii="Cambria Math" w:eastAsia="Cambria Math" w:hAnsi="Cambria Math" w:cs="Cambria Math"/>
                    <w:sz w:val="20"/>
                    <w:szCs w:val="24"/>
                  </w:rPr>
                  <m:t>os en el periodo 2002-2014.</m:t>
                </m:r>
                <m:ctrlPr>
                  <w:rPr>
                    <w:rFonts w:ascii="Cambria Math" w:eastAsia="Cambria Math" w:hAnsi="Cambria Math" w:cs="Cambria Math"/>
                    <w:i/>
                    <w:sz w:val="20"/>
                    <w:szCs w:val="24"/>
                  </w:rPr>
                </m:ctrlPr>
              </m:e>
            </m:mr>
            <m:mr>
              <m:e>
                <m:ctrlPr>
                  <w:rPr>
                    <w:rFonts w:ascii="Cambria Math" w:eastAsia="Cambria Math" w:hAnsi="Cambria Math" w:cs="Cambria Math"/>
                    <w:i/>
                    <w:sz w:val="20"/>
                    <w:szCs w:val="24"/>
                  </w:rPr>
                </m:ctrlPr>
              </m:e>
              <m:e>
                <m:ctrlPr>
                  <w:rPr>
                    <w:rFonts w:ascii="Cambria Math" w:eastAsia="Cambria Math" w:hAnsi="Cambria Math" w:cs="Cambria Math"/>
                    <w:i/>
                    <w:sz w:val="20"/>
                    <w:szCs w:val="24"/>
                  </w:rPr>
                </m:ctrlPr>
              </m:e>
              <m:e>
                <m:ctrlPr>
                  <w:rPr>
                    <w:rFonts w:ascii="Cambria Math" w:eastAsia="Cambria Math" w:hAnsi="Cambria Math" w:cs="Cambria Math"/>
                    <w:i/>
                    <w:sz w:val="20"/>
                    <w:szCs w:val="24"/>
                  </w:rPr>
                </m:ctrlPr>
              </m:e>
            </m:mr>
            <m:mr>
              <m:e>
                <m:r>
                  <w:rPr>
                    <w:rFonts w:ascii="Cambria Math" w:eastAsia="Cambria Math" w:hAnsi="Cambria Math" w:cs="Cambria Math"/>
                    <w:sz w:val="20"/>
                    <w:szCs w:val="24"/>
                  </w:rPr>
                  <m:t>α</m:t>
                </m:r>
                <m:ctrlPr>
                  <w:rPr>
                    <w:rFonts w:ascii="Cambria Math" w:eastAsia="Cambria Math" w:hAnsi="Cambria Math" w:cs="Cambria Math"/>
                    <w:i/>
                    <w:sz w:val="20"/>
                    <w:szCs w:val="24"/>
                  </w:rPr>
                </m:ctrlPr>
              </m:e>
              <m:e>
                <m:r>
                  <w:rPr>
                    <w:rFonts w:ascii="Cambria Math" w:eastAsia="Cambria Math" w:hAnsi="Cambria Math" w:cs="Cambria Math"/>
                    <w:sz w:val="20"/>
                    <w:szCs w:val="24"/>
                  </w:rPr>
                  <m:t>=</m:t>
                </m:r>
                <m:ctrlPr>
                  <w:rPr>
                    <w:rFonts w:ascii="Cambria Math" w:eastAsia="Cambria Math" w:hAnsi="Cambria Math" w:cs="Cambria Math"/>
                    <w:i/>
                    <w:sz w:val="20"/>
                    <w:szCs w:val="24"/>
                  </w:rPr>
                </m:ctrlPr>
              </m:e>
              <m:e>
                <m:r>
                  <w:rPr>
                    <w:rFonts w:ascii="Cambria Math" w:eastAsia="Cambria Math" w:hAnsi="Cambria Math" w:cs="Cambria Math"/>
                    <w:sz w:val="20"/>
                    <w:szCs w:val="24"/>
                  </w:rPr>
                  <m:t>Parámetro entre 0 y 1.</m:t>
                </m:r>
              </m:e>
            </m:mr>
          </m:m>
        </m:oMath>
      </m:oMathPara>
    </w:p>
    <w:p w:rsidR="005B5E13" w:rsidRDefault="005B5E13" w:rsidP="003A063B">
      <w:pPr>
        <w:spacing w:after="0"/>
        <w:jc w:val="both"/>
      </w:pPr>
    </w:p>
    <w:p w:rsidR="00DB2E1F" w:rsidRDefault="00230CCF" w:rsidP="00230CCF">
      <w:pPr>
        <w:spacing w:after="0"/>
        <w:jc w:val="both"/>
      </w:pPr>
      <w:r>
        <w:t xml:space="preserve">A diferencia del planteamiento original, en vez de determinar </w:t>
      </w:r>
      <m:oMath>
        <m:r>
          <w:rPr>
            <w:rFonts w:ascii="Cambria Math" w:hAnsi="Cambria Math"/>
            <w:szCs w:val="24"/>
          </w:rPr>
          <m:t>α</m:t>
        </m:r>
      </m:oMath>
      <w:r>
        <w:t xml:space="preserve"> a través de una fórmula que maximice la correlación entre las variables de la serie expresada en el año base oficial para cada periodo de tiempo, </w:t>
      </w:r>
      <w:r w:rsidR="004B0E28">
        <w:t xml:space="preserve">se </w:t>
      </w:r>
      <w:r>
        <w:t>opt</w:t>
      </w:r>
      <w:r w:rsidR="004B0E28">
        <w:t>ó</w:t>
      </w:r>
      <w:r>
        <w:t xml:space="preserve"> por utilizar el complemento de la probabilidad de existencia de sesgo de obsolescencia entre las estimaciones.</w:t>
      </w:r>
    </w:p>
    <w:p w:rsidR="00DB2E1F" w:rsidRDefault="00DB2E1F" w:rsidP="00230CCF">
      <w:pPr>
        <w:spacing w:after="0"/>
        <w:jc w:val="both"/>
      </w:pPr>
    </w:p>
    <w:p w:rsidR="00DB2E1F" w:rsidRDefault="00DB2E1F" w:rsidP="00230CCF">
      <w:pPr>
        <w:spacing w:after="0"/>
        <w:jc w:val="both"/>
      </w:pPr>
      <w:r>
        <w:t xml:space="preserve">La probabilidad de existencia de sesgo de obsolescencia </w:t>
      </w:r>
      <w:r w:rsidR="00230CCF">
        <w:t>es obtenida a partir de un</w:t>
      </w:r>
      <w:r w:rsidR="00A16165">
        <w:t xml:space="preserve">a prueba </w:t>
      </w:r>
      <w:r w:rsidR="00230CCF">
        <w:t>de hipótesis que contrasta la proporción de cada cultivo por dominio de estudio entre 2002 y 2014</w:t>
      </w:r>
      <w:r>
        <w:t xml:space="preserve">. Esta prueba se realiza para </w:t>
      </w:r>
      <w:r w:rsidR="00A16165">
        <w:t>medir s</w:t>
      </w:r>
      <w:r>
        <w:t>i las diferencias entre las proporciones de cada cultivo por dominio de estudio son significativas. Gracias a est</w:t>
      </w:r>
      <w:r w:rsidR="007252B1">
        <w:t>a prueba</w:t>
      </w:r>
      <w:r>
        <w:t>, obtenemos una apro</w:t>
      </w:r>
      <w:r w:rsidR="00071C85">
        <w:t>ximación del impacto de la desactualización del marco sobre las estimaciones obtenidas a través de ESPAC.</w:t>
      </w:r>
    </w:p>
    <w:p w:rsidR="00DB2E1F" w:rsidRDefault="00DB2E1F" w:rsidP="00230CCF">
      <w:pPr>
        <w:spacing w:after="0"/>
        <w:jc w:val="both"/>
      </w:pPr>
    </w:p>
    <w:p w:rsidR="00230CCF" w:rsidRDefault="00071C85" w:rsidP="00230CCF">
      <w:pPr>
        <w:spacing w:after="0"/>
        <w:jc w:val="both"/>
      </w:pPr>
      <w:r>
        <w:t>Bajo esta consideración</w:t>
      </w:r>
      <w:r w:rsidR="00DB2E1F">
        <w:t xml:space="preserve">, </w:t>
      </w:r>
      <m:oMath>
        <m:r>
          <w:rPr>
            <w:rFonts w:ascii="Cambria Math" w:hAnsi="Cambria Math"/>
            <w:szCs w:val="24"/>
          </w:rPr>
          <m:t>α</m:t>
        </m:r>
      </m:oMath>
      <w:r w:rsidR="00DB2E1F">
        <w:rPr>
          <w:szCs w:val="24"/>
        </w:rPr>
        <w:t xml:space="preserve"> se define como</w:t>
      </w:r>
      <w:r w:rsidR="00230CCF">
        <w:t>:</w:t>
      </w:r>
    </w:p>
    <w:p w:rsidR="00071C85" w:rsidRDefault="00071C85" w:rsidP="00230CCF">
      <w:pPr>
        <w:spacing w:after="0"/>
        <w:jc w:val="both"/>
      </w:pPr>
    </w:p>
    <w:p w:rsidR="00230CCF" w:rsidRPr="00230CCF" w:rsidRDefault="00230CCF" w:rsidP="00230CCF">
      <w:pPr>
        <w:spacing w:after="0"/>
        <w:jc w:val="both"/>
        <w:rPr>
          <w:szCs w:val="24"/>
        </w:rPr>
      </w:pPr>
      <m:oMathPara>
        <m:oMath>
          <m:r>
            <w:rPr>
              <w:rFonts w:ascii="Cambria Math" w:hAnsi="Cambria Math"/>
              <w:szCs w:val="24"/>
            </w:rPr>
            <m:t>α=2*(1-λ)</m:t>
          </m:r>
        </m:oMath>
      </m:oMathPara>
    </w:p>
    <w:p w:rsidR="00230CCF" w:rsidRDefault="00230CCF" w:rsidP="00230CCF">
      <w:pPr>
        <w:spacing w:after="0"/>
        <w:jc w:val="both"/>
      </w:pPr>
    </w:p>
    <w:p w:rsidR="00230CCF" w:rsidRDefault="00230CCF" w:rsidP="00230CCF">
      <w:pPr>
        <w:spacing w:after="0"/>
        <w:jc w:val="both"/>
      </w:pPr>
      <w:r>
        <w:t>d</w:t>
      </w:r>
      <w:r w:rsidR="00B652A8">
        <w:t>ó</w:t>
      </w:r>
      <w:r>
        <w:t xml:space="preserve">nde </w:t>
      </w:r>
      <m:oMath>
        <m:r>
          <w:rPr>
            <w:rFonts w:ascii="Cambria Math" w:hAnsi="Cambria Math"/>
            <w:szCs w:val="24"/>
          </w:rPr>
          <m:t>λ</m:t>
        </m:r>
      </m:oMath>
      <w:r>
        <w:t xml:space="preserve"> es la probabilidad de que la serie presente sesgo de obsolescencia. Cabe mencionar que el test de sesgo de obsolescencia se realizó únicamente sobre el MA generado para ESPAC debido a que la unidad de observación del MA son terrenos y del ML son las UPA’s.</w:t>
      </w:r>
    </w:p>
    <w:p w:rsidR="00230CCF" w:rsidRDefault="00230CCF" w:rsidP="00230CCF">
      <w:pPr>
        <w:spacing w:after="0"/>
        <w:jc w:val="both"/>
      </w:pPr>
    </w:p>
    <w:p w:rsidR="00230CCF" w:rsidRDefault="00230CCF" w:rsidP="00CC056E">
      <w:pPr>
        <w:spacing w:after="0"/>
        <w:jc w:val="both"/>
      </w:pPr>
      <w:r>
        <w:t>Dado que la participación de todos los cultivos permanentes y transitorios no es equitativa, para este ejercicio se han seleccionado los cultivos que cumplan ciertos requerimientos tales como:</w:t>
      </w:r>
    </w:p>
    <w:p w:rsidR="001248CC" w:rsidRPr="00CC056E" w:rsidRDefault="001248CC" w:rsidP="00CC056E">
      <w:pPr>
        <w:spacing w:after="0"/>
        <w:jc w:val="both"/>
      </w:pPr>
    </w:p>
    <w:p w:rsidR="00230CCF" w:rsidRDefault="00F6303B" w:rsidP="00230CCF">
      <w:pPr>
        <w:pStyle w:val="Epgrafe"/>
        <w:numPr>
          <w:ilvl w:val="0"/>
          <w:numId w:val="7"/>
        </w:numPr>
        <w:spacing w:after="0"/>
        <w:jc w:val="both"/>
        <w:rPr>
          <w:b w:val="0"/>
          <w:bCs w:val="0"/>
          <w:color w:val="auto"/>
          <w:sz w:val="22"/>
          <w:szCs w:val="22"/>
        </w:rPr>
      </w:pPr>
      <w:r>
        <w:rPr>
          <w:b w:val="0"/>
          <w:bCs w:val="0"/>
          <w:color w:val="auto"/>
          <w:sz w:val="22"/>
          <w:szCs w:val="22"/>
        </w:rPr>
        <w:lastRenderedPageBreak/>
        <w:t>Aporte</w:t>
      </w:r>
      <w:r w:rsidR="00230CCF" w:rsidRPr="00230CCF">
        <w:rPr>
          <w:b w:val="0"/>
          <w:bCs w:val="0"/>
          <w:color w:val="auto"/>
          <w:sz w:val="22"/>
          <w:szCs w:val="22"/>
        </w:rPr>
        <w:t xml:space="preserve"> desde el punto de vista de </w:t>
      </w:r>
      <w:r w:rsidR="00F561FF">
        <w:rPr>
          <w:b w:val="0"/>
          <w:bCs w:val="0"/>
          <w:color w:val="auto"/>
          <w:sz w:val="22"/>
          <w:szCs w:val="22"/>
        </w:rPr>
        <w:t xml:space="preserve">superficie plantada y cosechada, </w:t>
      </w:r>
      <w:r w:rsidR="00230CCF" w:rsidRPr="00230CCF">
        <w:rPr>
          <w:b w:val="0"/>
          <w:bCs w:val="0"/>
          <w:color w:val="auto"/>
          <w:sz w:val="22"/>
          <w:szCs w:val="22"/>
        </w:rPr>
        <w:t>producción y venta,</w:t>
      </w:r>
    </w:p>
    <w:p w:rsidR="00230CCF" w:rsidRDefault="00230CCF" w:rsidP="00230CCF">
      <w:pPr>
        <w:pStyle w:val="Epgrafe"/>
        <w:spacing w:after="0"/>
        <w:ind w:left="720"/>
        <w:jc w:val="both"/>
        <w:rPr>
          <w:b w:val="0"/>
          <w:bCs w:val="0"/>
          <w:color w:val="auto"/>
          <w:sz w:val="22"/>
          <w:szCs w:val="22"/>
        </w:rPr>
      </w:pPr>
    </w:p>
    <w:p w:rsidR="00963715" w:rsidRPr="00963715" w:rsidRDefault="00230CCF" w:rsidP="00963715">
      <w:pPr>
        <w:pStyle w:val="Epgrafe"/>
        <w:numPr>
          <w:ilvl w:val="0"/>
          <w:numId w:val="7"/>
        </w:numPr>
        <w:spacing w:after="0"/>
        <w:jc w:val="both"/>
        <w:rPr>
          <w:b w:val="0"/>
          <w:bCs w:val="0"/>
          <w:color w:val="auto"/>
          <w:sz w:val="22"/>
          <w:szCs w:val="22"/>
        </w:rPr>
      </w:pPr>
      <w:r w:rsidRPr="00230CCF">
        <w:rPr>
          <w:b w:val="0"/>
          <w:bCs w:val="0"/>
          <w:color w:val="auto"/>
          <w:sz w:val="22"/>
          <w:szCs w:val="22"/>
        </w:rPr>
        <w:t>Mayor presencia en los dominios de estudio, que se traduce en un número mínimo de observaciones muestrales</w:t>
      </w:r>
      <w:r w:rsidR="00991696">
        <w:rPr>
          <w:rStyle w:val="Refdenotaalpie"/>
          <w:b w:val="0"/>
          <w:bCs w:val="0"/>
          <w:color w:val="auto"/>
          <w:sz w:val="22"/>
          <w:szCs w:val="22"/>
        </w:rPr>
        <w:footnoteReference w:id="3"/>
      </w:r>
      <w:r w:rsidRPr="00230CCF">
        <w:rPr>
          <w:b w:val="0"/>
          <w:bCs w:val="0"/>
          <w:color w:val="auto"/>
          <w:sz w:val="22"/>
          <w:szCs w:val="22"/>
        </w:rPr>
        <w:t xml:space="preserve">. Esta restricción es importante puesto que para </w:t>
      </w:r>
      <w:r w:rsidRPr="00AC05E1">
        <w:rPr>
          <w:b w:val="0"/>
          <w:bCs w:val="0"/>
          <w:i/>
          <w:color w:val="auto"/>
          <w:sz w:val="22"/>
          <w:szCs w:val="22"/>
        </w:rPr>
        <w:t>n</w:t>
      </w:r>
      <w:r w:rsidRPr="00230CCF">
        <w:rPr>
          <w:b w:val="0"/>
          <w:bCs w:val="0"/>
          <w:color w:val="auto"/>
          <w:sz w:val="22"/>
          <w:szCs w:val="22"/>
        </w:rPr>
        <w:t xml:space="preserve"> muy pequeños se incurre en errores sistemáticos en el cálculo de la varianza de los estimadores, afectando el resultado del sesgo de obsolescencia.</w:t>
      </w:r>
    </w:p>
    <w:p w:rsidR="00963715" w:rsidRDefault="00963715" w:rsidP="00963715">
      <w:pPr>
        <w:pStyle w:val="Epgrafe"/>
        <w:spacing w:after="0"/>
        <w:ind w:left="720"/>
        <w:jc w:val="both"/>
        <w:rPr>
          <w:b w:val="0"/>
          <w:bCs w:val="0"/>
          <w:color w:val="auto"/>
          <w:sz w:val="22"/>
          <w:szCs w:val="22"/>
        </w:rPr>
      </w:pPr>
    </w:p>
    <w:p w:rsidR="00230CCF" w:rsidRPr="00230CCF" w:rsidRDefault="00230CCF" w:rsidP="00230CCF">
      <w:pPr>
        <w:pStyle w:val="Epgrafe"/>
        <w:numPr>
          <w:ilvl w:val="0"/>
          <w:numId w:val="7"/>
        </w:numPr>
        <w:spacing w:after="0"/>
        <w:jc w:val="both"/>
        <w:rPr>
          <w:b w:val="0"/>
          <w:bCs w:val="0"/>
          <w:color w:val="auto"/>
          <w:sz w:val="22"/>
          <w:szCs w:val="22"/>
        </w:rPr>
      </w:pPr>
      <w:r w:rsidRPr="00230CCF">
        <w:rPr>
          <w:b w:val="0"/>
          <w:bCs w:val="0"/>
          <w:color w:val="auto"/>
          <w:sz w:val="22"/>
          <w:szCs w:val="22"/>
        </w:rPr>
        <w:t>Existencia de sesgo de obsolescencia en ese cultivo a nivel nacional o en cada dominio de estudio considerado para el mismo.</w:t>
      </w:r>
    </w:p>
    <w:p w:rsidR="00230CCF" w:rsidRPr="00230CCF" w:rsidRDefault="00230CCF" w:rsidP="00230CCF">
      <w:pPr>
        <w:pStyle w:val="Epgrafe"/>
        <w:spacing w:after="0"/>
        <w:jc w:val="both"/>
        <w:rPr>
          <w:b w:val="0"/>
          <w:bCs w:val="0"/>
          <w:color w:val="auto"/>
          <w:sz w:val="22"/>
          <w:szCs w:val="22"/>
        </w:rPr>
      </w:pPr>
    </w:p>
    <w:p w:rsidR="00230CCF" w:rsidRDefault="00230CCF" w:rsidP="00230CCF">
      <w:pPr>
        <w:pStyle w:val="Epgrafe"/>
        <w:spacing w:after="0"/>
        <w:jc w:val="both"/>
        <w:rPr>
          <w:b w:val="0"/>
          <w:bCs w:val="0"/>
          <w:color w:val="auto"/>
          <w:sz w:val="22"/>
          <w:szCs w:val="22"/>
        </w:rPr>
      </w:pPr>
      <w:r w:rsidRPr="00230CCF">
        <w:rPr>
          <w:b w:val="0"/>
          <w:bCs w:val="0"/>
          <w:color w:val="auto"/>
          <w:sz w:val="22"/>
          <w:szCs w:val="22"/>
        </w:rPr>
        <w:t>Luego de este análisis, los cultivos a empalmar son los siguientes:</w:t>
      </w:r>
    </w:p>
    <w:p w:rsidR="00A5011B" w:rsidRPr="00A5011B" w:rsidRDefault="00A5011B" w:rsidP="00A5011B"/>
    <w:p w:rsidR="00230CCF" w:rsidRDefault="00230CCF" w:rsidP="00230CCF">
      <w:pPr>
        <w:pStyle w:val="Epgrafe"/>
        <w:spacing w:after="0" w:line="276" w:lineRule="auto"/>
        <w:jc w:val="center"/>
        <w:rPr>
          <w:color w:val="auto"/>
          <w:sz w:val="22"/>
        </w:rPr>
      </w:pPr>
      <w:r w:rsidRPr="00896E8B">
        <w:rPr>
          <w:color w:val="auto"/>
          <w:sz w:val="22"/>
        </w:rPr>
        <w:t>Tabla 1.</w:t>
      </w:r>
      <w:r>
        <w:rPr>
          <w:color w:val="auto"/>
          <w:sz w:val="22"/>
        </w:rPr>
        <w:t xml:space="preserve"> Lista de cultivos a ser empalmados</w:t>
      </w:r>
    </w:p>
    <w:p w:rsidR="00A5011B" w:rsidRPr="00A5011B" w:rsidRDefault="00A5011B" w:rsidP="00A5011B"/>
    <w:tbl>
      <w:tblPr>
        <w:tblStyle w:val="Sombreadoclaro-nfasis11"/>
        <w:tblW w:w="0" w:type="auto"/>
        <w:jc w:val="center"/>
        <w:tblLook w:val="04A0" w:firstRow="1" w:lastRow="0" w:firstColumn="1" w:lastColumn="0" w:noHBand="0" w:noVBand="1"/>
      </w:tblPr>
      <w:tblGrid>
        <w:gridCol w:w="2211"/>
        <w:gridCol w:w="2211"/>
      </w:tblGrid>
      <w:tr w:rsidR="00230CCF" w:rsidRPr="00896E8B" w:rsidTr="00230CCF">
        <w:trPr>
          <w:cnfStyle w:val="100000000000" w:firstRow="1" w:lastRow="0" w:firstColumn="0" w:lastColumn="0" w:oddVBand="0" w:evenVBand="0" w:oddHBand="0"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2211" w:type="dxa"/>
            <w:noWrap/>
            <w:hideMark/>
          </w:tcPr>
          <w:p w:rsidR="00230CCF" w:rsidRPr="00230CCF" w:rsidRDefault="00230CCF" w:rsidP="00230CCF">
            <w:pPr>
              <w:spacing w:after="0" w:line="240" w:lineRule="auto"/>
              <w:jc w:val="center"/>
              <w:rPr>
                <w:rFonts w:eastAsia="Times New Roman" w:cs="Calibri"/>
                <w:b w:val="0"/>
                <w:bCs w:val="0"/>
                <w:color w:val="000000" w:themeColor="text1"/>
                <w:lang w:eastAsia="es-EC"/>
              </w:rPr>
            </w:pPr>
            <w:r w:rsidRPr="00230CCF">
              <w:rPr>
                <w:color w:val="000000" w:themeColor="text1"/>
              </w:rPr>
              <w:t>Cultivos permanentes</w:t>
            </w:r>
          </w:p>
        </w:tc>
        <w:tc>
          <w:tcPr>
            <w:tcW w:w="2211" w:type="dxa"/>
            <w:hideMark/>
          </w:tcPr>
          <w:p w:rsidR="00230CCF" w:rsidRPr="00230CCF" w:rsidRDefault="00230CCF" w:rsidP="00230CCF">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color w:val="000000" w:themeColor="text1"/>
                <w:lang w:eastAsia="es-EC"/>
              </w:rPr>
            </w:pPr>
            <w:r w:rsidRPr="00230CCF">
              <w:rPr>
                <w:color w:val="000000" w:themeColor="text1"/>
              </w:rPr>
              <w:t>Cultivos transitorios</w:t>
            </w:r>
          </w:p>
        </w:tc>
      </w:tr>
      <w:tr w:rsidR="00230CCF" w:rsidRPr="00FB1810" w:rsidTr="00230CCF">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2211" w:type="dxa"/>
            <w:noWrap/>
            <w:hideMark/>
          </w:tcPr>
          <w:p w:rsidR="00230CCF" w:rsidRPr="00230CCF" w:rsidRDefault="00230CCF" w:rsidP="00230CCF">
            <w:pPr>
              <w:spacing w:after="0" w:line="240" w:lineRule="auto"/>
              <w:rPr>
                <w:rFonts w:ascii="Arial" w:eastAsia="Times New Roman" w:hAnsi="Arial" w:cs="Arial"/>
                <w:b w:val="0"/>
                <w:color w:val="000000" w:themeColor="text1"/>
                <w:sz w:val="20"/>
                <w:szCs w:val="20"/>
                <w:lang w:eastAsia="es-EC"/>
              </w:rPr>
            </w:pPr>
            <w:r w:rsidRPr="00230CCF">
              <w:rPr>
                <w:b w:val="0"/>
                <w:color w:val="000000" w:themeColor="text1"/>
              </w:rPr>
              <w:t>Banano</w:t>
            </w:r>
          </w:p>
        </w:tc>
        <w:tc>
          <w:tcPr>
            <w:tcW w:w="2211" w:type="dxa"/>
            <w:noWrap/>
            <w:hideMark/>
          </w:tcPr>
          <w:p w:rsidR="00230CCF" w:rsidRPr="00230CCF" w:rsidRDefault="00230CCF" w:rsidP="00230CCF">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themeColor="text1"/>
                <w:lang w:eastAsia="es-EC"/>
              </w:rPr>
            </w:pPr>
            <w:r w:rsidRPr="00230CCF">
              <w:rPr>
                <w:color w:val="000000" w:themeColor="text1"/>
              </w:rPr>
              <w:t>Arroz</w:t>
            </w:r>
          </w:p>
        </w:tc>
      </w:tr>
      <w:tr w:rsidR="00230CCF" w:rsidRPr="00FB1810" w:rsidTr="00230CCF">
        <w:trPr>
          <w:trHeight w:val="312"/>
          <w:jc w:val="center"/>
        </w:trPr>
        <w:tc>
          <w:tcPr>
            <w:cnfStyle w:val="001000000000" w:firstRow="0" w:lastRow="0" w:firstColumn="1" w:lastColumn="0" w:oddVBand="0" w:evenVBand="0" w:oddHBand="0" w:evenHBand="0" w:firstRowFirstColumn="0" w:firstRowLastColumn="0" w:lastRowFirstColumn="0" w:lastRowLastColumn="0"/>
            <w:tcW w:w="2211" w:type="dxa"/>
            <w:noWrap/>
            <w:hideMark/>
          </w:tcPr>
          <w:p w:rsidR="00230CCF" w:rsidRPr="00230CCF" w:rsidRDefault="00230CCF" w:rsidP="00230CCF">
            <w:pPr>
              <w:spacing w:after="0" w:line="240" w:lineRule="auto"/>
              <w:rPr>
                <w:rFonts w:ascii="Arial" w:eastAsia="Times New Roman" w:hAnsi="Arial" w:cs="Arial"/>
                <w:b w:val="0"/>
                <w:color w:val="000000" w:themeColor="text1"/>
                <w:sz w:val="20"/>
                <w:szCs w:val="20"/>
                <w:lang w:eastAsia="es-EC"/>
              </w:rPr>
            </w:pPr>
            <w:r w:rsidRPr="00230CCF">
              <w:rPr>
                <w:b w:val="0"/>
                <w:color w:val="000000" w:themeColor="text1"/>
              </w:rPr>
              <w:t>Cacao</w:t>
            </w:r>
          </w:p>
        </w:tc>
        <w:tc>
          <w:tcPr>
            <w:tcW w:w="2211" w:type="dxa"/>
            <w:noWrap/>
            <w:hideMark/>
          </w:tcPr>
          <w:p w:rsidR="00230CCF" w:rsidRPr="00230CCF" w:rsidRDefault="00230CCF" w:rsidP="00230CCF">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themeColor="text1"/>
                <w:lang w:eastAsia="es-EC"/>
              </w:rPr>
            </w:pPr>
            <w:r w:rsidRPr="00230CCF">
              <w:rPr>
                <w:color w:val="000000" w:themeColor="text1"/>
              </w:rPr>
              <w:t>Maíz Duro Seco</w:t>
            </w:r>
          </w:p>
        </w:tc>
      </w:tr>
      <w:tr w:rsidR="00230CCF" w:rsidRPr="00FB1810" w:rsidTr="00230CCF">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2211" w:type="dxa"/>
            <w:noWrap/>
            <w:hideMark/>
          </w:tcPr>
          <w:p w:rsidR="00230CCF" w:rsidRPr="00230CCF" w:rsidRDefault="00230CCF" w:rsidP="00230CCF">
            <w:pPr>
              <w:spacing w:after="0" w:line="240" w:lineRule="auto"/>
              <w:rPr>
                <w:rFonts w:ascii="Arial" w:eastAsia="Times New Roman" w:hAnsi="Arial" w:cs="Arial"/>
                <w:b w:val="0"/>
                <w:color w:val="000000" w:themeColor="text1"/>
                <w:sz w:val="20"/>
                <w:szCs w:val="20"/>
                <w:lang w:eastAsia="es-EC"/>
              </w:rPr>
            </w:pPr>
            <w:r w:rsidRPr="00230CCF">
              <w:rPr>
                <w:b w:val="0"/>
                <w:color w:val="000000" w:themeColor="text1"/>
              </w:rPr>
              <w:t>Café</w:t>
            </w:r>
          </w:p>
        </w:tc>
        <w:tc>
          <w:tcPr>
            <w:tcW w:w="2211" w:type="dxa"/>
            <w:noWrap/>
            <w:hideMark/>
          </w:tcPr>
          <w:p w:rsidR="00230CCF" w:rsidRPr="00230CCF" w:rsidRDefault="00230CCF" w:rsidP="00230CCF">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themeColor="text1"/>
                <w:lang w:eastAsia="es-EC"/>
              </w:rPr>
            </w:pPr>
            <w:r w:rsidRPr="00230CCF">
              <w:rPr>
                <w:color w:val="000000" w:themeColor="text1"/>
              </w:rPr>
              <w:t>Papa</w:t>
            </w:r>
          </w:p>
        </w:tc>
      </w:tr>
      <w:tr w:rsidR="00230CCF" w:rsidRPr="00FB1810" w:rsidTr="00963715">
        <w:trPr>
          <w:trHeight w:val="312"/>
          <w:jc w:val="center"/>
        </w:trPr>
        <w:tc>
          <w:tcPr>
            <w:cnfStyle w:val="001000000000" w:firstRow="0" w:lastRow="0" w:firstColumn="1" w:lastColumn="0" w:oddVBand="0" w:evenVBand="0" w:oddHBand="0" w:evenHBand="0" w:firstRowFirstColumn="0" w:firstRowLastColumn="0" w:lastRowFirstColumn="0" w:lastRowLastColumn="0"/>
            <w:tcW w:w="2211" w:type="dxa"/>
            <w:noWrap/>
            <w:hideMark/>
          </w:tcPr>
          <w:p w:rsidR="00230CCF" w:rsidRPr="00230CCF" w:rsidRDefault="00230CCF" w:rsidP="00230CCF">
            <w:pPr>
              <w:spacing w:after="0" w:line="240" w:lineRule="auto"/>
              <w:rPr>
                <w:rFonts w:ascii="Arial" w:eastAsia="Times New Roman" w:hAnsi="Arial" w:cs="Arial"/>
                <w:b w:val="0"/>
                <w:color w:val="000000" w:themeColor="text1"/>
                <w:sz w:val="20"/>
                <w:szCs w:val="20"/>
                <w:lang w:eastAsia="es-EC"/>
              </w:rPr>
            </w:pPr>
            <w:r w:rsidRPr="00230CCF">
              <w:rPr>
                <w:b w:val="0"/>
                <w:color w:val="000000" w:themeColor="text1"/>
              </w:rPr>
              <w:t xml:space="preserve">Caña de </w:t>
            </w:r>
            <w:r w:rsidR="008F5FEF">
              <w:rPr>
                <w:b w:val="0"/>
                <w:color w:val="000000" w:themeColor="text1"/>
              </w:rPr>
              <w:t>a</w:t>
            </w:r>
            <w:r w:rsidRPr="00230CCF">
              <w:rPr>
                <w:b w:val="0"/>
                <w:color w:val="000000" w:themeColor="text1"/>
              </w:rPr>
              <w:t>zúcar</w:t>
            </w:r>
            <w:r w:rsidR="008F5FEF">
              <w:rPr>
                <w:b w:val="0"/>
                <w:color w:val="000000" w:themeColor="text1"/>
              </w:rPr>
              <w:t xml:space="preserve"> para azúcar</w:t>
            </w:r>
          </w:p>
        </w:tc>
        <w:tc>
          <w:tcPr>
            <w:tcW w:w="2211" w:type="dxa"/>
            <w:noWrap/>
          </w:tcPr>
          <w:p w:rsidR="00230CCF" w:rsidRPr="00230CCF" w:rsidRDefault="00230CCF" w:rsidP="00230CCF">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color w:val="000000" w:themeColor="text1"/>
                <w:lang w:eastAsia="es-EC"/>
              </w:rPr>
            </w:pPr>
          </w:p>
        </w:tc>
      </w:tr>
      <w:tr w:rsidR="00230CCF" w:rsidRPr="00FB1810" w:rsidTr="00963715">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2211" w:type="dxa"/>
            <w:noWrap/>
            <w:hideMark/>
          </w:tcPr>
          <w:p w:rsidR="00230CCF" w:rsidRPr="00230CCF" w:rsidRDefault="00230CCF" w:rsidP="00230CCF">
            <w:pPr>
              <w:spacing w:after="0" w:line="240" w:lineRule="auto"/>
              <w:rPr>
                <w:rFonts w:ascii="Arial" w:eastAsia="Times New Roman" w:hAnsi="Arial" w:cs="Arial"/>
                <w:b w:val="0"/>
                <w:color w:val="000000" w:themeColor="text1"/>
                <w:sz w:val="20"/>
                <w:szCs w:val="20"/>
                <w:lang w:eastAsia="es-EC"/>
              </w:rPr>
            </w:pPr>
            <w:r w:rsidRPr="00230CCF">
              <w:rPr>
                <w:b w:val="0"/>
                <w:color w:val="000000" w:themeColor="text1"/>
              </w:rPr>
              <w:t>Palma</w:t>
            </w:r>
            <w:r w:rsidR="008F5FEF">
              <w:rPr>
                <w:b w:val="0"/>
                <w:color w:val="000000" w:themeColor="text1"/>
              </w:rPr>
              <w:t xml:space="preserve"> africana</w:t>
            </w:r>
          </w:p>
        </w:tc>
        <w:tc>
          <w:tcPr>
            <w:tcW w:w="2211" w:type="dxa"/>
            <w:noWrap/>
          </w:tcPr>
          <w:p w:rsidR="00230CCF" w:rsidRPr="00230CCF" w:rsidRDefault="00230CCF" w:rsidP="00230CCF">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color w:val="000000" w:themeColor="text1"/>
                <w:lang w:eastAsia="es-EC"/>
              </w:rPr>
            </w:pPr>
          </w:p>
        </w:tc>
      </w:tr>
    </w:tbl>
    <w:p w:rsidR="00A5011B" w:rsidRDefault="00A5011B" w:rsidP="00230CCF">
      <w:pPr>
        <w:spacing w:after="0"/>
        <w:jc w:val="both"/>
      </w:pPr>
    </w:p>
    <w:p w:rsidR="001248CC" w:rsidRDefault="001248CC" w:rsidP="00230CCF">
      <w:pPr>
        <w:spacing w:after="0"/>
        <w:jc w:val="both"/>
      </w:pPr>
    </w:p>
    <w:p w:rsidR="00230CCF" w:rsidRDefault="00230CCF" w:rsidP="00230CCF">
      <w:pPr>
        <w:spacing w:after="0"/>
        <w:jc w:val="both"/>
      </w:pPr>
      <w:r>
        <w:t xml:space="preserve">Cabe mencionar que los estimadores de superficie con uso de suelo declarada como </w:t>
      </w:r>
      <w:r w:rsidR="001248CC">
        <w:t>p</w:t>
      </w:r>
      <w:r>
        <w:t>asto cultivado, ganado vacuno y ganado porcino no se consideraron para el cálculo de sesgo puesto que estas 3 estimaciones tienen una gran participación del ML de la ESPAC.</w:t>
      </w:r>
    </w:p>
    <w:p w:rsidR="00230CCF" w:rsidRDefault="00230CCF" w:rsidP="00230CCF">
      <w:pPr>
        <w:spacing w:after="0"/>
        <w:jc w:val="both"/>
      </w:pPr>
    </w:p>
    <w:p w:rsidR="00230CCF" w:rsidRDefault="00230CCF" w:rsidP="00230CCF">
      <w:pPr>
        <w:spacing w:after="0"/>
        <w:jc w:val="both"/>
      </w:pPr>
      <w:r>
        <w:t xml:space="preserve">Además, puesto que cada cultivo precisa diferentes características para su producción, se consideraron dominios de investigación por producto en función a su volumen de producción. Estos dominios de estudio fueron considerados a nivel provincial o </w:t>
      </w:r>
      <w:r w:rsidR="005B4356">
        <w:t>R</w:t>
      </w:r>
      <w:r>
        <w:t>esto</w:t>
      </w:r>
      <w:r w:rsidR="005B4356">
        <w:t xml:space="preserve"> </w:t>
      </w:r>
      <w:r>
        <w:t>país y quedan distribuidos de la siguiente manera:</w:t>
      </w:r>
    </w:p>
    <w:p w:rsidR="00230CCF" w:rsidRDefault="00230CCF" w:rsidP="003A063B">
      <w:pPr>
        <w:spacing w:after="0"/>
        <w:jc w:val="both"/>
      </w:pPr>
    </w:p>
    <w:p w:rsidR="005B4356" w:rsidRDefault="005B4356" w:rsidP="003A063B">
      <w:pPr>
        <w:spacing w:after="0"/>
        <w:jc w:val="both"/>
      </w:pPr>
    </w:p>
    <w:p w:rsidR="001248CC" w:rsidRDefault="001248CC" w:rsidP="00A5011B">
      <w:pPr>
        <w:pStyle w:val="Epgrafe"/>
        <w:spacing w:after="0" w:line="276" w:lineRule="auto"/>
        <w:jc w:val="center"/>
        <w:rPr>
          <w:color w:val="auto"/>
          <w:sz w:val="22"/>
        </w:rPr>
      </w:pPr>
    </w:p>
    <w:p w:rsidR="00A5011B" w:rsidRDefault="002853BF" w:rsidP="00A5011B">
      <w:pPr>
        <w:pStyle w:val="Epgrafe"/>
        <w:spacing w:after="0" w:line="276" w:lineRule="auto"/>
        <w:jc w:val="center"/>
        <w:rPr>
          <w:color w:val="auto"/>
          <w:sz w:val="22"/>
        </w:rPr>
      </w:pPr>
      <w:r>
        <w:rPr>
          <w:color w:val="auto"/>
          <w:sz w:val="22"/>
        </w:rPr>
        <w:lastRenderedPageBreak/>
        <w:t>Tabla 2</w:t>
      </w:r>
      <w:r w:rsidR="00A5011B" w:rsidRPr="00896E8B">
        <w:rPr>
          <w:color w:val="auto"/>
          <w:sz w:val="22"/>
        </w:rPr>
        <w:t>.</w:t>
      </w:r>
      <w:r w:rsidR="00A5011B">
        <w:rPr>
          <w:color w:val="auto"/>
          <w:sz w:val="22"/>
        </w:rPr>
        <w:t xml:space="preserve"> Dominios de estudio por cultivo a ser considerados en el ejercicio de empalme</w:t>
      </w:r>
    </w:p>
    <w:p w:rsidR="00230CCF" w:rsidRDefault="00230CCF" w:rsidP="003A063B">
      <w:pPr>
        <w:spacing w:after="0"/>
        <w:jc w:val="both"/>
      </w:pPr>
    </w:p>
    <w:tbl>
      <w:tblPr>
        <w:tblStyle w:val="Sombreadoclaro-nfasis11"/>
        <w:tblW w:w="9060" w:type="dxa"/>
        <w:tblLook w:val="04A0" w:firstRow="1" w:lastRow="0" w:firstColumn="1" w:lastColumn="0" w:noHBand="0" w:noVBand="1"/>
      </w:tblPr>
      <w:tblGrid>
        <w:gridCol w:w="1701"/>
        <w:gridCol w:w="1843"/>
        <w:gridCol w:w="5516"/>
      </w:tblGrid>
      <w:tr w:rsidR="00230CCF" w:rsidRPr="00230CCF" w:rsidTr="00230CCF">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1" w:type="dxa"/>
            <w:noWrap/>
            <w:hideMark/>
          </w:tcPr>
          <w:p w:rsidR="00230CCF" w:rsidRPr="00A5011B" w:rsidRDefault="00230CCF" w:rsidP="00230CCF">
            <w:pPr>
              <w:spacing w:after="0"/>
              <w:jc w:val="both"/>
              <w:rPr>
                <w:color w:val="000000" w:themeColor="text1"/>
              </w:rPr>
            </w:pPr>
            <w:r w:rsidRPr="00A5011B">
              <w:rPr>
                <w:color w:val="000000" w:themeColor="text1"/>
              </w:rPr>
              <w:t>Tipo de cultivo</w:t>
            </w:r>
          </w:p>
        </w:tc>
        <w:tc>
          <w:tcPr>
            <w:tcW w:w="1843" w:type="dxa"/>
            <w:noWrap/>
            <w:hideMark/>
          </w:tcPr>
          <w:p w:rsidR="00230CCF" w:rsidRPr="00A5011B" w:rsidRDefault="00230CCF" w:rsidP="00230CCF">
            <w:pPr>
              <w:spacing w:after="0"/>
              <w:jc w:val="both"/>
              <w:cnfStyle w:val="100000000000" w:firstRow="1" w:lastRow="0" w:firstColumn="0" w:lastColumn="0" w:oddVBand="0" w:evenVBand="0" w:oddHBand="0" w:evenHBand="0" w:firstRowFirstColumn="0" w:firstRowLastColumn="0" w:lastRowFirstColumn="0" w:lastRowLastColumn="0"/>
              <w:rPr>
                <w:color w:val="000000" w:themeColor="text1"/>
              </w:rPr>
            </w:pPr>
            <w:r w:rsidRPr="00A5011B">
              <w:rPr>
                <w:color w:val="000000" w:themeColor="text1"/>
              </w:rPr>
              <w:t>Cultivo</w:t>
            </w:r>
          </w:p>
        </w:tc>
        <w:tc>
          <w:tcPr>
            <w:tcW w:w="5516" w:type="dxa"/>
            <w:noWrap/>
            <w:hideMark/>
          </w:tcPr>
          <w:p w:rsidR="00230CCF" w:rsidRPr="00A5011B" w:rsidRDefault="00230CCF" w:rsidP="00230CCF">
            <w:pPr>
              <w:spacing w:after="0"/>
              <w:jc w:val="both"/>
              <w:cnfStyle w:val="100000000000" w:firstRow="1" w:lastRow="0" w:firstColumn="0" w:lastColumn="0" w:oddVBand="0" w:evenVBand="0" w:oddHBand="0" w:evenHBand="0" w:firstRowFirstColumn="0" w:firstRowLastColumn="0" w:lastRowFirstColumn="0" w:lastRowLastColumn="0"/>
              <w:rPr>
                <w:color w:val="000000" w:themeColor="text1"/>
              </w:rPr>
            </w:pPr>
            <w:r w:rsidRPr="00A5011B">
              <w:rPr>
                <w:color w:val="000000" w:themeColor="text1"/>
              </w:rPr>
              <w:t>Dominios de estudio</w:t>
            </w:r>
          </w:p>
        </w:tc>
      </w:tr>
      <w:tr w:rsidR="00230CCF" w:rsidRPr="00230CCF" w:rsidTr="00A5011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1" w:type="dxa"/>
            <w:vMerge w:val="restart"/>
            <w:noWrap/>
            <w:vAlign w:val="center"/>
            <w:hideMark/>
          </w:tcPr>
          <w:p w:rsidR="00230CCF" w:rsidRPr="00A5011B" w:rsidRDefault="00230CCF" w:rsidP="00A5011B">
            <w:pPr>
              <w:spacing w:after="0"/>
              <w:jc w:val="center"/>
              <w:rPr>
                <w:color w:val="000000" w:themeColor="text1"/>
              </w:rPr>
            </w:pPr>
            <w:r w:rsidRPr="00A5011B">
              <w:rPr>
                <w:color w:val="000000" w:themeColor="text1"/>
              </w:rPr>
              <w:t>Permanentes</w:t>
            </w:r>
          </w:p>
        </w:tc>
        <w:tc>
          <w:tcPr>
            <w:tcW w:w="1843" w:type="dxa"/>
            <w:noWrap/>
            <w:hideMark/>
          </w:tcPr>
          <w:p w:rsidR="00230CCF" w:rsidRPr="00A5011B" w:rsidRDefault="00230CCF" w:rsidP="00230CCF">
            <w:pPr>
              <w:spacing w:after="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A5011B">
              <w:rPr>
                <w:color w:val="000000" w:themeColor="text1"/>
              </w:rPr>
              <w:t>Banano</w:t>
            </w:r>
          </w:p>
        </w:tc>
        <w:tc>
          <w:tcPr>
            <w:tcW w:w="5516" w:type="dxa"/>
            <w:noWrap/>
            <w:hideMark/>
          </w:tcPr>
          <w:p w:rsidR="00230CCF" w:rsidRPr="00A5011B" w:rsidRDefault="00230CCF" w:rsidP="00230CCF">
            <w:pPr>
              <w:spacing w:after="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A5011B">
              <w:rPr>
                <w:color w:val="000000" w:themeColor="text1"/>
              </w:rPr>
              <w:t>El Oro, Guayas, Los Ríos, Manabí, Resto país.</w:t>
            </w:r>
          </w:p>
        </w:tc>
      </w:tr>
      <w:tr w:rsidR="00230CCF" w:rsidRPr="00230CCF" w:rsidTr="00A5011B">
        <w:trPr>
          <w:trHeight w:val="288"/>
        </w:trPr>
        <w:tc>
          <w:tcPr>
            <w:cnfStyle w:val="001000000000" w:firstRow="0" w:lastRow="0" w:firstColumn="1" w:lastColumn="0" w:oddVBand="0" w:evenVBand="0" w:oddHBand="0" w:evenHBand="0" w:firstRowFirstColumn="0" w:firstRowLastColumn="0" w:lastRowFirstColumn="0" w:lastRowLastColumn="0"/>
            <w:tcW w:w="1701" w:type="dxa"/>
            <w:vMerge/>
            <w:vAlign w:val="center"/>
            <w:hideMark/>
          </w:tcPr>
          <w:p w:rsidR="00230CCF" w:rsidRPr="00A5011B" w:rsidRDefault="00230CCF" w:rsidP="00A5011B">
            <w:pPr>
              <w:spacing w:after="0"/>
              <w:jc w:val="center"/>
              <w:rPr>
                <w:color w:val="000000" w:themeColor="text1"/>
              </w:rPr>
            </w:pPr>
          </w:p>
        </w:tc>
        <w:tc>
          <w:tcPr>
            <w:tcW w:w="1843" w:type="dxa"/>
            <w:noWrap/>
            <w:hideMark/>
          </w:tcPr>
          <w:p w:rsidR="00230CCF" w:rsidRPr="00A5011B" w:rsidRDefault="00230CCF" w:rsidP="00230CCF">
            <w:pPr>
              <w:spacing w:after="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A5011B">
              <w:rPr>
                <w:color w:val="000000" w:themeColor="text1"/>
              </w:rPr>
              <w:t>Cacao</w:t>
            </w:r>
          </w:p>
        </w:tc>
        <w:tc>
          <w:tcPr>
            <w:tcW w:w="5516" w:type="dxa"/>
            <w:noWrap/>
            <w:hideMark/>
          </w:tcPr>
          <w:p w:rsidR="00230CCF" w:rsidRPr="00A5011B" w:rsidRDefault="00230CCF" w:rsidP="00230CCF">
            <w:pPr>
              <w:spacing w:after="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A5011B">
              <w:rPr>
                <w:color w:val="000000" w:themeColor="text1"/>
              </w:rPr>
              <w:t>Esmeraldas, Guayas, Los Ríos, Manabí, Resto país.</w:t>
            </w:r>
          </w:p>
        </w:tc>
      </w:tr>
      <w:tr w:rsidR="00230CCF" w:rsidRPr="00230CCF" w:rsidTr="00A5011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1" w:type="dxa"/>
            <w:vMerge/>
            <w:vAlign w:val="center"/>
            <w:hideMark/>
          </w:tcPr>
          <w:p w:rsidR="00230CCF" w:rsidRPr="00A5011B" w:rsidRDefault="00230CCF" w:rsidP="00A5011B">
            <w:pPr>
              <w:spacing w:after="0"/>
              <w:jc w:val="center"/>
              <w:rPr>
                <w:color w:val="000000" w:themeColor="text1"/>
              </w:rPr>
            </w:pPr>
          </w:p>
        </w:tc>
        <w:tc>
          <w:tcPr>
            <w:tcW w:w="1843" w:type="dxa"/>
            <w:noWrap/>
            <w:hideMark/>
          </w:tcPr>
          <w:p w:rsidR="00230CCF" w:rsidRPr="00A5011B" w:rsidRDefault="00230CCF" w:rsidP="00230CCF">
            <w:pPr>
              <w:spacing w:after="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A5011B">
              <w:rPr>
                <w:color w:val="000000" w:themeColor="text1"/>
              </w:rPr>
              <w:t>Café</w:t>
            </w:r>
          </w:p>
        </w:tc>
        <w:tc>
          <w:tcPr>
            <w:tcW w:w="5516" w:type="dxa"/>
            <w:noWrap/>
            <w:hideMark/>
          </w:tcPr>
          <w:p w:rsidR="00230CCF" w:rsidRPr="00A5011B" w:rsidRDefault="00230CCF" w:rsidP="00230CCF">
            <w:pPr>
              <w:spacing w:after="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A5011B">
              <w:rPr>
                <w:color w:val="000000" w:themeColor="text1"/>
              </w:rPr>
              <w:t>Loja, Manabí, Resto país.</w:t>
            </w:r>
          </w:p>
        </w:tc>
      </w:tr>
      <w:tr w:rsidR="00230CCF" w:rsidRPr="00230CCF" w:rsidTr="00A5011B">
        <w:trPr>
          <w:trHeight w:val="288"/>
        </w:trPr>
        <w:tc>
          <w:tcPr>
            <w:cnfStyle w:val="001000000000" w:firstRow="0" w:lastRow="0" w:firstColumn="1" w:lastColumn="0" w:oddVBand="0" w:evenVBand="0" w:oddHBand="0" w:evenHBand="0" w:firstRowFirstColumn="0" w:firstRowLastColumn="0" w:lastRowFirstColumn="0" w:lastRowLastColumn="0"/>
            <w:tcW w:w="1701" w:type="dxa"/>
            <w:vMerge/>
            <w:vAlign w:val="center"/>
            <w:hideMark/>
          </w:tcPr>
          <w:p w:rsidR="00230CCF" w:rsidRPr="00A5011B" w:rsidRDefault="00230CCF" w:rsidP="00A5011B">
            <w:pPr>
              <w:spacing w:after="0"/>
              <w:jc w:val="center"/>
              <w:rPr>
                <w:color w:val="000000" w:themeColor="text1"/>
              </w:rPr>
            </w:pPr>
          </w:p>
        </w:tc>
        <w:tc>
          <w:tcPr>
            <w:tcW w:w="1843" w:type="dxa"/>
            <w:noWrap/>
            <w:hideMark/>
          </w:tcPr>
          <w:p w:rsidR="00230CCF" w:rsidRPr="00A5011B" w:rsidRDefault="00230CCF" w:rsidP="00230CCF">
            <w:pPr>
              <w:spacing w:after="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A5011B">
              <w:rPr>
                <w:color w:val="000000" w:themeColor="text1"/>
              </w:rPr>
              <w:t xml:space="preserve">Caña de </w:t>
            </w:r>
            <w:r w:rsidR="008F5FEF">
              <w:rPr>
                <w:color w:val="000000" w:themeColor="text1"/>
              </w:rPr>
              <w:t>a</w:t>
            </w:r>
            <w:r w:rsidRPr="00A5011B">
              <w:rPr>
                <w:color w:val="000000" w:themeColor="text1"/>
              </w:rPr>
              <w:t>zúcar</w:t>
            </w:r>
            <w:r w:rsidR="008F5FEF">
              <w:rPr>
                <w:color w:val="000000" w:themeColor="text1"/>
              </w:rPr>
              <w:t xml:space="preserve"> para azúcar</w:t>
            </w:r>
          </w:p>
        </w:tc>
        <w:tc>
          <w:tcPr>
            <w:tcW w:w="5516" w:type="dxa"/>
            <w:noWrap/>
            <w:hideMark/>
          </w:tcPr>
          <w:p w:rsidR="00230CCF" w:rsidRPr="00A5011B" w:rsidRDefault="00230CCF" w:rsidP="00230CCF">
            <w:pPr>
              <w:spacing w:after="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A5011B">
              <w:rPr>
                <w:color w:val="000000" w:themeColor="text1"/>
              </w:rPr>
              <w:t>Guayas, Resto país.</w:t>
            </w:r>
          </w:p>
        </w:tc>
      </w:tr>
      <w:tr w:rsidR="00230CCF" w:rsidRPr="00230CCF" w:rsidTr="00A5011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1" w:type="dxa"/>
            <w:vMerge/>
            <w:vAlign w:val="center"/>
            <w:hideMark/>
          </w:tcPr>
          <w:p w:rsidR="00230CCF" w:rsidRPr="00A5011B" w:rsidRDefault="00230CCF" w:rsidP="00A5011B">
            <w:pPr>
              <w:spacing w:after="0"/>
              <w:jc w:val="center"/>
              <w:rPr>
                <w:color w:val="000000" w:themeColor="text1"/>
              </w:rPr>
            </w:pPr>
          </w:p>
        </w:tc>
        <w:tc>
          <w:tcPr>
            <w:tcW w:w="1843" w:type="dxa"/>
            <w:noWrap/>
            <w:hideMark/>
          </w:tcPr>
          <w:p w:rsidR="00A575A1" w:rsidRDefault="00230CCF">
            <w:pPr>
              <w:spacing w:after="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A5011B">
              <w:rPr>
                <w:color w:val="000000" w:themeColor="text1"/>
              </w:rPr>
              <w:t>Palma</w:t>
            </w:r>
            <w:r w:rsidR="008F5FEF">
              <w:rPr>
                <w:color w:val="000000" w:themeColor="text1"/>
              </w:rPr>
              <w:t xml:space="preserve"> africana</w:t>
            </w:r>
          </w:p>
        </w:tc>
        <w:tc>
          <w:tcPr>
            <w:tcW w:w="5516" w:type="dxa"/>
            <w:noWrap/>
            <w:hideMark/>
          </w:tcPr>
          <w:p w:rsidR="00230CCF" w:rsidRPr="00A5011B" w:rsidRDefault="00230CCF" w:rsidP="00230CCF">
            <w:pPr>
              <w:spacing w:after="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A5011B">
              <w:rPr>
                <w:color w:val="000000" w:themeColor="text1"/>
              </w:rPr>
              <w:t>Esmeraldas, Los Ríos, Santo Domingo, Resto país.</w:t>
            </w:r>
          </w:p>
        </w:tc>
      </w:tr>
      <w:tr w:rsidR="00230CCF" w:rsidRPr="00230CCF" w:rsidTr="00A5011B">
        <w:trPr>
          <w:trHeight w:val="288"/>
        </w:trPr>
        <w:tc>
          <w:tcPr>
            <w:cnfStyle w:val="001000000000" w:firstRow="0" w:lastRow="0" w:firstColumn="1" w:lastColumn="0" w:oddVBand="0" w:evenVBand="0" w:oddHBand="0" w:evenHBand="0" w:firstRowFirstColumn="0" w:firstRowLastColumn="0" w:lastRowFirstColumn="0" w:lastRowLastColumn="0"/>
            <w:tcW w:w="1701" w:type="dxa"/>
            <w:vMerge w:val="restart"/>
            <w:noWrap/>
            <w:vAlign w:val="center"/>
            <w:hideMark/>
          </w:tcPr>
          <w:p w:rsidR="00230CCF" w:rsidRPr="00A5011B" w:rsidRDefault="00230CCF" w:rsidP="00A5011B">
            <w:pPr>
              <w:spacing w:after="0"/>
              <w:jc w:val="center"/>
              <w:rPr>
                <w:color w:val="000000" w:themeColor="text1"/>
              </w:rPr>
            </w:pPr>
            <w:r w:rsidRPr="00A5011B">
              <w:rPr>
                <w:color w:val="000000" w:themeColor="text1"/>
              </w:rPr>
              <w:t>Transitorios</w:t>
            </w:r>
          </w:p>
        </w:tc>
        <w:tc>
          <w:tcPr>
            <w:tcW w:w="1843" w:type="dxa"/>
            <w:noWrap/>
            <w:hideMark/>
          </w:tcPr>
          <w:p w:rsidR="00230CCF" w:rsidRPr="00A5011B" w:rsidRDefault="00230CCF" w:rsidP="00230CCF">
            <w:pPr>
              <w:spacing w:after="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A5011B">
              <w:rPr>
                <w:color w:val="000000" w:themeColor="text1"/>
              </w:rPr>
              <w:t>Arroz</w:t>
            </w:r>
          </w:p>
        </w:tc>
        <w:tc>
          <w:tcPr>
            <w:tcW w:w="5516" w:type="dxa"/>
            <w:noWrap/>
            <w:hideMark/>
          </w:tcPr>
          <w:p w:rsidR="00230CCF" w:rsidRPr="00A5011B" w:rsidRDefault="00230CCF" w:rsidP="00230CCF">
            <w:pPr>
              <w:spacing w:after="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A5011B">
              <w:rPr>
                <w:color w:val="000000" w:themeColor="text1"/>
              </w:rPr>
              <w:t>Guayas, Los Ríos, Manabí, Resto país.</w:t>
            </w:r>
          </w:p>
        </w:tc>
      </w:tr>
      <w:tr w:rsidR="00230CCF" w:rsidRPr="00230CCF" w:rsidTr="00230CC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1" w:type="dxa"/>
            <w:vMerge/>
            <w:hideMark/>
          </w:tcPr>
          <w:p w:rsidR="00230CCF" w:rsidRPr="00A5011B" w:rsidRDefault="00230CCF" w:rsidP="00230CCF">
            <w:pPr>
              <w:spacing w:after="0"/>
              <w:jc w:val="both"/>
              <w:rPr>
                <w:color w:val="000000" w:themeColor="text1"/>
              </w:rPr>
            </w:pPr>
          </w:p>
        </w:tc>
        <w:tc>
          <w:tcPr>
            <w:tcW w:w="1843" w:type="dxa"/>
            <w:noWrap/>
            <w:hideMark/>
          </w:tcPr>
          <w:p w:rsidR="00230CCF" w:rsidRPr="00A5011B" w:rsidRDefault="00230CCF" w:rsidP="00230CCF">
            <w:pPr>
              <w:spacing w:after="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A5011B">
              <w:rPr>
                <w:color w:val="000000" w:themeColor="text1"/>
              </w:rPr>
              <w:t xml:space="preserve">Maíz </w:t>
            </w:r>
            <w:r w:rsidR="008F5FEF">
              <w:rPr>
                <w:color w:val="000000" w:themeColor="text1"/>
              </w:rPr>
              <w:t>d</w:t>
            </w:r>
            <w:r w:rsidRPr="00A5011B">
              <w:rPr>
                <w:color w:val="000000" w:themeColor="text1"/>
              </w:rPr>
              <w:t>uro Seco</w:t>
            </w:r>
          </w:p>
        </w:tc>
        <w:tc>
          <w:tcPr>
            <w:tcW w:w="5516" w:type="dxa"/>
            <w:noWrap/>
            <w:hideMark/>
          </w:tcPr>
          <w:p w:rsidR="00230CCF" w:rsidRPr="00A5011B" w:rsidRDefault="00230CCF" w:rsidP="00230CCF">
            <w:pPr>
              <w:spacing w:after="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A5011B">
              <w:rPr>
                <w:color w:val="000000" w:themeColor="text1"/>
              </w:rPr>
              <w:t>Guayas, Loja, Los Ríos, Manabí, Resto país.</w:t>
            </w:r>
          </w:p>
        </w:tc>
      </w:tr>
      <w:tr w:rsidR="00230CCF" w:rsidRPr="00230CCF" w:rsidTr="00963715">
        <w:trPr>
          <w:trHeight w:val="288"/>
        </w:trPr>
        <w:tc>
          <w:tcPr>
            <w:cnfStyle w:val="001000000000" w:firstRow="0" w:lastRow="0" w:firstColumn="1" w:lastColumn="0" w:oddVBand="0" w:evenVBand="0" w:oddHBand="0" w:evenHBand="0" w:firstRowFirstColumn="0" w:firstRowLastColumn="0" w:lastRowFirstColumn="0" w:lastRowLastColumn="0"/>
            <w:tcW w:w="1701" w:type="dxa"/>
            <w:vMerge/>
            <w:hideMark/>
          </w:tcPr>
          <w:p w:rsidR="00230CCF" w:rsidRPr="00A5011B" w:rsidRDefault="00230CCF" w:rsidP="00230CCF">
            <w:pPr>
              <w:spacing w:after="0"/>
              <w:jc w:val="both"/>
              <w:rPr>
                <w:color w:val="000000" w:themeColor="text1"/>
              </w:rPr>
            </w:pPr>
          </w:p>
        </w:tc>
        <w:tc>
          <w:tcPr>
            <w:tcW w:w="1843" w:type="dxa"/>
            <w:noWrap/>
            <w:vAlign w:val="center"/>
            <w:hideMark/>
          </w:tcPr>
          <w:p w:rsidR="00230CCF" w:rsidRPr="00A5011B" w:rsidRDefault="00230CCF" w:rsidP="00963715">
            <w:pPr>
              <w:spacing w:after="0"/>
              <w:cnfStyle w:val="000000000000" w:firstRow="0" w:lastRow="0" w:firstColumn="0" w:lastColumn="0" w:oddVBand="0" w:evenVBand="0" w:oddHBand="0" w:evenHBand="0" w:firstRowFirstColumn="0" w:firstRowLastColumn="0" w:lastRowFirstColumn="0" w:lastRowLastColumn="0"/>
              <w:rPr>
                <w:color w:val="000000" w:themeColor="text1"/>
              </w:rPr>
            </w:pPr>
            <w:r w:rsidRPr="00A5011B">
              <w:rPr>
                <w:color w:val="000000" w:themeColor="text1"/>
              </w:rPr>
              <w:t>Papa</w:t>
            </w:r>
          </w:p>
        </w:tc>
        <w:tc>
          <w:tcPr>
            <w:tcW w:w="5516" w:type="dxa"/>
            <w:noWrap/>
            <w:hideMark/>
          </w:tcPr>
          <w:p w:rsidR="00230CCF" w:rsidRPr="00A5011B" w:rsidRDefault="00230CCF" w:rsidP="00230CCF">
            <w:pPr>
              <w:spacing w:after="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A5011B">
              <w:rPr>
                <w:color w:val="000000" w:themeColor="text1"/>
              </w:rPr>
              <w:t>Bolívar, Cañar, Carchi, Chimborazo, Cotopaxi, Pichincha, Tungurahua, Resto país.</w:t>
            </w:r>
          </w:p>
        </w:tc>
      </w:tr>
      <w:tr w:rsidR="00230CCF" w:rsidRPr="00230CCF" w:rsidTr="00230CC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1" w:type="dxa"/>
            <w:noWrap/>
            <w:hideMark/>
          </w:tcPr>
          <w:p w:rsidR="00230CCF" w:rsidRPr="00A5011B" w:rsidRDefault="00230CCF" w:rsidP="002853BF">
            <w:pPr>
              <w:spacing w:after="0"/>
              <w:jc w:val="center"/>
              <w:rPr>
                <w:color w:val="000000" w:themeColor="text1"/>
              </w:rPr>
            </w:pPr>
            <w:r w:rsidRPr="00A5011B">
              <w:rPr>
                <w:color w:val="000000" w:themeColor="text1"/>
              </w:rPr>
              <w:t>Total</w:t>
            </w:r>
          </w:p>
        </w:tc>
        <w:tc>
          <w:tcPr>
            <w:tcW w:w="1843" w:type="dxa"/>
            <w:noWrap/>
            <w:hideMark/>
          </w:tcPr>
          <w:p w:rsidR="00230CCF" w:rsidRPr="00A5011B" w:rsidRDefault="001248CC" w:rsidP="00230CCF">
            <w:pPr>
              <w:spacing w:after="0"/>
              <w:jc w:val="both"/>
              <w:cnfStyle w:val="000000100000" w:firstRow="0" w:lastRow="0" w:firstColumn="0" w:lastColumn="0" w:oddVBand="0" w:evenVBand="0" w:oddHBand="1" w:evenHBand="0" w:firstRowFirstColumn="0" w:firstRowLastColumn="0" w:lastRowFirstColumn="0" w:lastRowLastColumn="0"/>
              <w:rPr>
                <w:b/>
                <w:bCs/>
                <w:color w:val="000000" w:themeColor="text1"/>
              </w:rPr>
            </w:pPr>
            <w:r>
              <w:rPr>
                <w:b/>
                <w:bCs/>
                <w:color w:val="000000" w:themeColor="text1"/>
              </w:rPr>
              <w:t xml:space="preserve">8 </w:t>
            </w:r>
            <w:r w:rsidR="00230CCF" w:rsidRPr="00A5011B">
              <w:rPr>
                <w:b/>
                <w:bCs/>
                <w:color w:val="000000" w:themeColor="text1"/>
              </w:rPr>
              <w:t>cultivos</w:t>
            </w:r>
          </w:p>
        </w:tc>
        <w:tc>
          <w:tcPr>
            <w:tcW w:w="5516" w:type="dxa"/>
            <w:noWrap/>
            <w:hideMark/>
          </w:tcPr>
          <w:p w:rsidR="00230CCF" w:rsidRPr="00A5011B" w:rsidRDefault="00963715" w:rsidP="00230CCF">
            <w:pPr>
              <w:spacing w:after="0"/>
              <w:jc w:val="both"/>
              <w:cnfStyle w:val="000000100000" w:firstRow="0" w:lastRow="0" w:firstColumn="0" w:lastColumn="0" w:oddVBand="0" w:evenVBand="0" w:oddHBand="1" w:evenHBand="0" w:firstRowFirstColumn="0" w:firstRowLastColumn="0" w:lastRowFirstColumn="0" w:lastRowLastColumn="0"/>
              <w:rPr>
                <w:b/>
                <w:color w:val="000000" w:themeColor="text1"/>
              </w:rPr>
            </w:pPr>
            <w:r>
              <w:rPr>
                <w:b/>
                <w:color w:val="000000" w:themeColor="text1"/>
              </w:rPr>
              <w:t>28</w:t>
            </w:r>
            <w:r w:rsidR="00230CCF" w:rsidRPr="00A5011B">
              <w:rPr>
                <w:b/>
                <w:color w:val="000000" w:themeColor="text1"/>
              </w:rPr>
              <w:t xml:space="preserve"> series a empalmar.</w:t>
            </w:r>
          </w:p>
        </w:tc>
      </w:tr>
    </w:tbl>
    <w:p w:rsidR="00230CCF" w:rsidRDefault="00230CCF" w:rsidP="003A063B">
      <w:pPr>
        <w:spacing w:after="0"/>
        <w:jc w:val="both"/>
      </w:pPr>
    </w:p>
    <w:p w:rsidR="001248CC" w:rsidRDefault="001248CC" w:rsidP="003A063B">
      <w:pPr>
        <w:spacing w:after="0"/>
        <w:jc w:val="both"/>
      </w:pPr>
    </w:p>
    <w:p w:rsidR="00A94028" w:rsidRDefault="001248CC" w:rsidP="00A94028">
      <w:pPr>
        <w:pStyle w:val="Ttulo2"/>
        <w:jc w:val="both"/>
      </w:pPr>
      <w:r>
        <w:t>APLICACIÓN DEL MÉTODO DE EMPALME</w:t>
      </w:r>
    </w:p>
    <w:p w:rsidR="001248CC" w:rsidRPr="001248CC" w:rsidRDefault="001248CC" w:rsidP="00E54872"/>
    <w:p w:rsidR="00230CCF" w:rsidRDefault="002853BF" w:rsidP="003A063B">
      <w:pPr>
        <w:spacing w:after="0"/>
        <w:jc w:val="both"/>
      </w:pPr>
      <w:r w:rsidRPr="002853BF">
        <w:t xml:space="preserve">A continuación </w:t>
      </w:r>
      <w:r w:rsidR="00986A27">
        <w:t>se presenta</w:t>
      </w:r>
      <w:r w:rsidR="00986A27" w:rsidRPr="002853BF">
        <w:t xml:space="preserve"> </w:t>
      </w:r>
      <w:r w:rsidRPr="002853BF">
        <w:t>un ejemplo desarrollado para la serie superficie cosechada del cultivo permanente Banano y sus dominios de estudio, los cuales son las provincias de El Oro, Guayas, Los Ríos, Manabí y Resto país.</w:t>
      </w:r>
      <w:r w:rsidR="00E53E01">
        <w:t xml:space="preserve"> En cada gráfico, se expresa el número de hectáreas sembradas</w:t>
      </w:r>
      <w:r w:rsidR="00E54872">
        <w:t xml:space="preserve"> de Banano</w:t>
      </w:r>
      <w:r w:rsidR="007252B1">
        <w:t xml:space="preserve"> para la serie 2002-2014.</w:t>
      </w:r>
    </w:p>
    <w:tbl>
      <w:tblPr>
        <w:tblStyle w:val="Tablaconcuadrcula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414"/>
        <w:gridCol w:w="4414"/>
      </w:tblGrid>
      <w:tr w:rsidR="002853BF" w:rsidRPr="002853BF" w:rsidTr="00A064D9">
        <w:tc>
          <w:tcPr>
            <w:tcW w:w="4414" w:type="dxa"/>
            <w:vAlign w:val="bottom"/>
          </w:tcPr>
          <w:p w:rsidR="002853BF" w:rsidRPr="002853BF" w:rsidRDefault="002853BF" w:rsidP="002853BF">
            <w:pPr>
              <w:spacing w:line="360" w:lineRule="auto"/>
              <w:jc w:val="center"/>
              <w:rPr>
                <w:rFonts w:ascii="Times New Roman" w:hAnsi="Times New Roman"/>
                <w:sz w:val="24"/>
                <w:szCs w:val="24"/>
                <w:lang w:eastAsia="es-EC"/>
              </w:rPr>
            </w:pPr>
          </w:p>
          <w:p w:rsidR="002853BF" w:rsidRPr="002853BF" w:rsidRDefault="002853BF" w:rsidP="002853BF">
            <w:pPr>
              <w:spacing w:line="360" w:lineRule="auto"/>
              <w:jc w:val="center"/>
              <w:rPr>
                <w:rFonts w:ascii="Times New Roman" w:hAnsi="Times New Roman"/>
                <w:sz w:val="24"/>
                <w:szCs w:val="24"/>
                <w:lang w:eastAsia="es-EC"/>
              </w:rPr>
            </w:pPr>
            <w:r w:rsidRPr="002853BF">
              <w:rPr>
                <w:rFonts w:ascii="Times New Roman" w:hAnsi="Times New Roman"/>
                <w:noProof/>
                <w:sz w:val="24"/>
                <w:szCs w:val="24"/>
                <w:lang w:eastAsia="es-EC"/>
              </w:rPr>
              <w:drawing>
                <wp:inline distT="0" distB="0" distL="0" distR="0">
                  <wp:extent cx="2448000" cy="1506846"/>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48000" cy="1506846"/>
                          </a:xfrm>
                          <a:prstGeom prst="rect">
                            <a:avLst/>
                          </a:prstGeom>
                          <a:noFill/>
                        </pic:spPr>
                      </pic:pic>
                    </a:graphicData>
                  </a:graphic>
                </wp:inline>
              </w:drawing>
            </w:r>
          </w:p>
        </w:tc>
        <w:tc>
          <w:tcPr>
            <w:tcW w:w="4414" w:type="dxa"/>
            <w:vAlign w:val="center"/>
          </w:tcPr>
          <w:p w:rsidR="002853BF" w:rsidRPr="002853BF" w:rsidRDefault="002853BF" w:rsidP="002853BF">
            <w:pPr>
              <w:spacing w:line="360" w:lineRule="auto"/>
              <w:jc w:val="center"/>
              <w:rPr>
                <w:rFonts w:ascii="Times New Roman" w:hAnsi="Times New Roman"/>
                <w:sz w:val="24"/>
                <w:szCs w:val="24"/>
                <w:lang w:eastAsia="es-EC"/>
              </w:rPr>
            </w:pPr>
          </w:p>
          <w:p w:rsidR="002853BF" w:rsidRPr="002853BF" w:rsidRDefault="002853BF" w:rsidP="002853BF">
            <w:pPr>
              <w:spacing w:line="360" w:lineRule="auto"/>
              <w:jc w:val="center"/>
              <w:rPr>
                <w:rFonts w:ascii="Times New Roman" w:hAnsi="Times New Roman"/>
                <w:sz w:val="24"/>
                <w:szCs w:val="24"/>
                <w:lang w:eastAsia="es-EC"/>
              </w:rPr>
            </w:pPr>
            <w:r w:rsidRPr="002853BF">
              <w:rPr>
                <w:rFonts w:ascii="Times New Roman" w:hAnsi="Times New Roman"/>
                <w:noProof/>
                <w:sz w:val="24"/>
                <w:szCs w:val="24"/>
                <w:lang w:eastAsia="es-EC"/>
              </w:rPr>
              <w:drawing>
                <wp:inline distT="0" distB="0" distL="0" distR="0">
                  <wp:extent cx="2444653" cy="1504800"/>
                  <wp:effectExtent l="0" t="0" r="0" b="63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44653" cy="1504800"/>
                          </a:xfrm>
                          <a:prstGeom prst="rect">
                            <a:avLst/>
                          </a:prstGeom>
                          <a:noFill/>
                        </pic:spPr>
                      </pic:pic>
                    </a:graphicData>
                  </a:graphic>
                </wp:inline>
              </w:drawing>
            </w:r>
          </w:p>
        </w:tc>
      </w:tr>
      <w:tr w:rsidR="002853BF" w:rsidRPr="002853BF" w:rsidTr="00A064D9">
        <w:tblPrEx>
          <w:tblCellMar>
            <w:left w:w="108" w:type="dxa"/>
            <w:right w:w="108" w:type="dxa"/>
          </w:tblCellMar>
        </w:tblPrEx>
        <w:tc>
          <w:tcPr>
            <w:tcW w:w="4414" w:type="dxa"/>
            <w:vAlign w:val="center"/>
          </w:tcPr>
          <w:p w:rsidR="002853BF" w:rsidRDefault="002853BF" w:rsidP="002853BF">
            <w:pPr>
              <w:spacing w:line="360" w:lineRule="auto"/>
              <w:jc w:val="center"/>
              <w:rPr>
                <w:rFonts w:ascii="Times New Roman" w:hAnsi="Times New Roman"/>
                <w:sz w:val="24"/>
                <w:szCs w:val="24"/>
                <w:lang w:eastAsia="es-EC"/>
              </w:rPr>
            </w:pPr>
          </w:p>
          <w:p w:rsidR="00071C85" w:rsidRDefault="00071C85" w:rsidP="002853BF">
            <w:pPr>
              <w:spacing w:line="360" w:lineRule="auto"/>
              <w:jc w:val="center"/>
              <w:rPr>
                <w:rFonts w:ascii="Times New Roman" w:hAnsi="Times New Roman"/>
                <w:sz w:val="24"/>
                <w:szCs w:val="24"/>
                <w:lang w:eastAsia="es-EC"/>
              </w:rPr>
            </w:pPr>
          </w:p>
          <w:p w:rsidR="00071C85" w:rsidRPr="002853BF" w:rsidRDefault="00071C85" w:rsidP="002853BF">
            <w:pPr>
              <w:spacing w:line="360" w:lineRule="auto"/>
              <w:jc w:val="center"/>
              <w:rPr>
                <w:rFonts w:ascii="Times New Roman" w:hAnsi="Times New Roman"/>
                <w:sz w:val="24"/>
                <w:szCs w:val="24"/>
                <w:lang w:eastAsia="es-EC"/>
              </w:rPr>
            </w:pPr>
          </w:p>
          <w:p w:rsidR="002853BF" w:rsidRPr="002853BF" w:rsidRDefault="002853BF" w:rsidP="002853BF">
            <w:pPr>
              <w:spacing w:line="360" w:lineRule="auto"/>
              <w:jc w:val="center"/>
              <w:rPr>
                <w:rFonts w:ascii="Times New Roman" w:hAnsi="Times New Roman"/>
                <w:sz w:val="24"/>
                <w:szCs w:val="24"/>
                <w:lang w:eastAsia="es-EC"/>
              </w:rPr>
            </w:pPr>
            <w:r w:rsidRPr="002853BF">
              <w:rPr>
                <w:rFonts w:ascii="Times New Roman" w:hAnsi="Times New Roman"/>
                <w:noProof/>
                <w:sz w:val="24"/>
                <w:szCs w:val="24"/>
                <w:lang w:eastAsia="es-EC"/>
              </w:rPr>
              <w:drawing>
                <wp:inline distT="0" distB="0" distL="0" distR="0">
                  <wp:extent cx="2444660" cy="1504800"/>
                  <wp:effectExtent l="0" t="0" r="0" b="63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4660" cy="1504800"/>
                          </a:xfrm>
                          <a:prstGeom prst="rect">
                            <a:avLst/>
                          </a:prstGeom>
                          <a:noFill/>
                        </pic:spPr>
                      </pic:pic>
                    </a:graphicData>
                  </a:graphic>
                </wp:inline>
              </w:drawing>
            </w:r>
          </w:p>
        </w:tc>
        <w:tc>
          <w:tcPr>
            <w:tcW w:w="4414" w:type="dxa"/>
            <w:vAlign w:val="center"/>
          </w:tcPr>
          <w:p w:rsidR="002853BF" w:rsidRDefault="002853BF" w:rsidP="002853BF">
            <w:pPr>
              <w:spacing w:line="360" w:lineRule="auto"/>
              <w:jc w:val="center"/>
              <w:rPr>
                <w:rFonts w:ascii="Times New Roman" w:hAnsi="Times New Roman"/>
                <w:sz w:val="24"/>
                <w:szCs w:val="24"/>
                <w:lang w:eastAsia="es-EC"/>
              </w:rPr>
            </w:pPr>
          </w:p>
          <w:p w:rsidR="00071C85" w:rsidRDefault="00071C85" w:rsidP="002853BF">
            <w:pPr>
              <w:spacing w:line="360" w:lineRule="auto"/>
              <w:jc w:val="center"/>
              <w:rPr>
                <w:rFonts w:ascii="Times New Roman" w:hAnsi="Times New Roman"/>
                <w:sz w:val="24"/>
                <w:szCs w:val="24"/>
                <w:lang w:eastAsia="es-EC"/>
              </w:rPr>
            </w:pPr>
          </w:p>
          <w:p w:rsidR="00071C85" w:rsidRPr="002853BF" w:rsidRDefault="00071C85" w:rsidP="002853BF">
            <w:pPr>
              <w:spacing w:line="360" w:lineRule="auto"/>
              <w:jc w:val="center"/>
              <w:rPr>
                <w:rFonts w:ascii="Times New Roman" w:hAnsi="Times New Roman"/>
                <w:sz w:val="24"/>
                <w:szCs w:val="24"/>
                <w:lang w:eastAsia="es-EC"/>
              </w:rPr>
            </w:pPr>
          </w:p>
          <w:p w:rsidR="002853BF" w:rsidRPr="002853BF" w:rsidRDefault="002853BF" w:rsidP="002853BF">
            <w:pPr>
              <w:spacing w:line="360" w:lineRule="auto"/>
              <w:jc w:val="center"/>
              <w:rPr>
                <w:rFonts w:ascii="Times New Roman" w:hAnsi="Times New Roman"/>
                <w:sz w:val="24"/>
                <w:szCs w:val="24"/>
                <w:lang w:eastAsia="es-EC"/>
              </w:rPr>
            </w:pPr>
            <w:r w:rsidRPr="002853BF">
              <w:rPr>
                <w:rFonts w:ascii="Times New Roman" w:hAnsi="Times New Roman"/>
                <w:noProof/>
                <w:sz w:val="24"/>
                <w:szCs w:val="24"/>
                <w:lang w:eastAsia="es-EC"/>
              </w:rPr>
              <w:drawing>
                <wp:inline distT="0" distB="0" distL="0" distR="0">
                  <wp:extent cx="2444660" cy="1504800"/>
                  <wp:effectExtent l="0" t="0" r="0" b="63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44660" cy="1504800"/>
                          </a:xfrm>
                          <a:prstGeom prst="rect">
                            <a:avLst/>
                          </a:prstGeom>
                          <a:noFill/>
                        </pic:spPr>
                      </pic:pic>
                    </a:graphicData>
                  </a:graphic>
                </wp:inline>
              </w:drawing>
            </w:r>
          </w:p>
        </w:tc>
      </w:tr>
      <w:tr w:rsidR="002853BF" w:rsidRPr="002853BF" w:rsidTr="00A064D9">
        <w:tblPrEx>
          <w:tblCellMar>
            <w:left w:w="108" w:type="dxa"/>
            <w:right w:w="108" w:type="dxa"/>
          </w:tblCellMar>
        </w:tblPrEx>
        <w:tc>
          <w:tcPr>
            <w:tcW w:w="8828" w:type="dxa"/>
            <w:gridSpan w:val="2"/>
            <w:vAlign w:val="center"/>
          </w:tcPr>
          <w:p w:rsidR="002853BF" w:rsidRPr="002853BF" w:rsidRDefault="002853BF" w:rsidP="00E53E01">
            <w:pPr>
              <w:spacing w:line="360" w:lineRule="auto"/>
              <w:rPr>
                <w:rFonts w:ascii="Times New Roman" w:hAnsi="Times New Roman"/>
                <w:sz w:val="24"/>
                <w:szCs w:val="24"/>
                <w:lang w:eastAsia="es-EC"/>
              </w:rPr>
            </w:pPr>
          </w:p>
          <w:p w:rsidR="001248CC" w:rsidRPr="002853BF" w:rsidRDefault="002853BF" w:rsidP="00071C85">
            <w:pPr>
              <w:spacing w:line="360" w:lineRule="auto"/>
              <w:jc w:val="center"/>
              <w:rPr>
                <w:rFonts w:ascii="Times New Roman" w:hAnsi="Times New Roman"/>
                <w:sz w:val="24"/>
                <w:szCs w:val="24"/>
                <w:lang w:eastAsia="es-EC"/>
              </w:rPr>
            </w:pPr>
            <w:r w:rsidRPr="002853BF">
              <w:rPr>
                <w:rFonts w:ascii="Times New Roman" w:hAnsi="Times New Roman"/>
                <w:noProof/>
                <w:sz w:val="24"/>
                <w:szCs w:val="24"/>
                <w:lang w:eastAsia="es-EC"/>
              </w:rPr>
              <w:drawing>
                <wp:inline distT="0" distB="0" distL="0" distR="0">
                  <wp:extent cx="2444660" cy="1504800"/>
                  <wp:effectExtent l="0" t="0" r="0" b="63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44660" cy="1504800"/>
                          </a:xfrm>
                          <a:prstGeom prst="rect">
                            <a:avLst/>
                          </a:prstGeom>
                          <a:noFill/>
                        </pic:spPr>
                      </pic:pic>
                    </a:graphicData>
                  </a:graphic>
                </wp:inline>
              </w:drawing>
            </w:r>
          </w:p>
        </w:tc>
      </w:tr>
    </w:tbl>
    <w:p w:rsidR="00A5011B" w:rsidRDefault="002853BF" w:rsidP="003A063B">
      <w:pPr>
        <w:spacing w:after="0"/>
        <w:jc w:val="both"/>
      </w:pPr>
      <w:r w:rsidRPr="002853BF">
        <w:t>Luego de empalmar las series en cada dominio de estudio, reconstruimos la serie nacional a partir de la agregación de los valores por dominio, obteniéndose:</w:t>
      </w:r>
    </w:p>
    <w:tbl>
      <w:tblPr>
        <w:tblStyle w:val="Tablaconcuadrcula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8"/>
      </w:tblGrid>
      <w:tr w:rsidR="002853BF" w:rsidRPr="002853BF" w:rsidTr="00A064D9">
        <w:tc>
          <w:tcPr>
            <w:tcW w:w="8828" w:type="dxa"/>
            <w:vAlign w:val="center"/>
          </w:tcPr>
          <w:p w:rsidR="002853BF" w:rsidRPr="002853BF" w:rsidRDefault="002853BF" w:rsidP="002853BF">
            <w:pPr>
              <w:spacing w:after="0" w:line="360" w:lineRule="auto"/>
              <w:jc w:val="center"/>
              <w:rPr>
                <w:rFonts w:ascii="Times New Roman" w:hAnsi="Times New Roman"/>
                <w:sz w:val="24"/>
                <w:szCs w:val="24"/>
                <w:lang w:eastAsia="es-EC"/>
              </w:rPr>
            </w:pPr>
          </w:p>
          <w:p w:rsidR="002853BF" w:rsidRPr="002853BF" w:rsidRDefault="002853BF" w:rsidP="002853BF">
            <w:pPr>
              <w:spacing w:after="0" w:line="360" w:lineRule="auto"/>
              <w:jc w:val="center"/>
              <w:rPr>
                <w:rFonts w:ascii="Times New Roman" w:hAnsi="Times New Roman"/>
                <w:sz w:val="24"/>
                <w:szCs w:val="24"/>
                <w:lang w:eastAsia="es-EC"/>
              </w:rPr>
            </w:pPr>
            <w:r w:rsidRPr="002853BF">
              <w:rPr>
                <w:rFonts w:ascii="Times New Roman" w:hAnsi="Times New Roman"/>
                <w:noProof/>
                <w:sz w:val="24"/>
                <w:szCs w:val="24"/>
                <w:lang w:eastAsia="es-EC"/>
              </w:rPr>
              <w:lastRenderedPageBreak/>
              <w:drawing>
                <wp:inline distT="0" distB="0" distL="0" distR="0">
                  <wp:extent cx="4045764" cy="22572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45764" cy="2257200"/>
                          </a:xfrm>
                          <a:prstGeom prst="rect">
                            <a:avLst/>
                          </a:prstGeom>
                          <a:noFill/>
                        </pic:spPr>
                      </pic:pic>
                    </a:graphicData>
                  </a:graphic>
                </wp:inline>
              </w:drawing>
            </w:r>
          </w:p>
        </w:tc>
      </w:tr>
      <w:tr w:rsidR="002853BF" w:rsidRPr="002853BF" w:rsidTr="00A064D9">
        <w:tc>
          <w:tcPr>
            <w:tcW w:w="8828" w:type="dxa"/>
            <w:vAlign w:val="center"/>
          </w:tcPr>
          <w:p w:rsidR="002853BF" w:rsidRPr="002853BF" w:rsidRDefault="002853BF" w:rsidP="002853BF">
            <w:pPr>
              <w:spacing w:after="0" w:line="360" w:lineRule="auto"/>
              <w:jc w:val="center"/>
              <w:rPr>
                <w:rFonts w:ascii="Times New Roman" w:hAnsi="Times New Roman"/>
                <w:sz w:val="24"/>
                <w:szCs w:val="24"/>
                <w:lang w:eastAsia="es-EC"/>
              </w:rPr>
            </w:pPr>
          </w:p>
        </w:tc>
      </w:tr>
    </w:tbl>
    <w:p w:rsidR="002853BF" w:rsidRDefault="002853BF" w:rsidP="003A063B">
      <w:pPr>
        <w:spacing w:after="0"/>
        <w:jc w:val="both"/>
      </w:pPr>
      <w:r w:rsidRPr="002853BF">
        <w:t>Para el empalme de las series se utilizaron los siguientes valores para α:</w:t>
      </w:r>
    </w:p>
    <w:p w:rsidR="00A5011B" w:rsidRDefault="00A5011B" w:rsidP="003A063B">
      <w:pPr>
        <w:spacing w:after="0"/>
        <w:jc w:val="both"/>
      </w:pPr>
    </w:p>
    <w:p w:rsidR="00645BB4" w:rsidRDefault="00645BB4" w:rsidP="00645BB4">
      <w:pPr>
        <w:pStyle w:val="Epgrafe"/>
        <w:spacing w:after="0" w:line="276" w:lineRule="auto"/>
        <w:jc w:val="center"/>
        <w:rPr>
          <w:color w:val="auto"/>
          <w:sz w:val="22"/>
        </w:rPr>
      </w:pPr>
      <w:r>
        <w:rPr>
          <w:color w:val="auto"/>
          <w:sz w:val="22"/>
        </w:rPr>
        <w:t>Tabla 3. Valores α usados en el ejercicio de empalme</w:t>
      </w:r>
    </w:p>
    <w:p w:rsidR="00645BB4" w:rsidRPr="00A5011B" w:rsidRDefault="00645BB4" w:rsidP="00645BB4"/>
    <w:tbl>
      <w:tblPr>
        <w:tblStyle w:val="Sombreadoclaro-nfasis11"/>
        <w:tblW w:w="0" w:type="auto"/>
        <w:jc w:val="center"/>
        <w:tblLook w:val="04A0" w:firstRow="1" w:lastRow="0" w:firstColumn="1" w:lastColumn="0" w:noHBand="0" w:noVBand="1"/>
      </w:tblPr>
      <w:tblGrid>
        <w:gridCol w:w="2069"/>
        <w:gridCol w:w="1617"/>
      </w:tblGrid>
      <w:tr w:rsidR="00645BB4" w:rsidRPr="00896E8B" w:rsidTr="00645BB4">
        <w:trPr>
          <w:cnfStyle w:val="100000000000" w:firstRow="1" w:lastRow="0" w:firstColumn="0" w:lastColumn="0" w:oddVBand="0" w:evenVBand="0" w:oddHBand="0"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2069" w:type="dxa"/>
            <w:noWrap/>
            <w:hideMark/>
          </w:tcPr>
          <w:p w:rsidR="00645BB4" w:rsidRPr="00DC4BB7" w:rsidRDefault="00A94028" w:rsidP="00645BB4">
            <w:pPr>
              <w:spacing w:after="0" w:line="240" w:lineRule="auto"/>
              <w:jc w:val="center"/>
              <w:rPr>
                <w:rFonts w:eastAsia="Times New Roman" w:cs="Calibri"/>
                <w:bCs w:val="0"/>
                <w:color w:val="auto"/>
                <w:lang w:eastAsia="es-EC"/>
              </w:rPr>
            </w:pPr>
            <w:r w:rsidRPr="00DC4BB7">
              <w:rPr>
                <w:color w:val="auto"/>
              </w:rPr>
              <w:t>Dominio de estudio</w:t>
            </w:r>
          </w:p>
        </w:tc>
        <w:tc>
          <w:tcPr>
            <w:tcW w:w="1617" w:type="dxa"/>
            <w:hideMark/>
          </w:tcPr>
          <w:p w:rsidR="00645BB4" w:rsidRPr="00DC4BB7" w:rsidRDefault="00A94028" w:rsidP="00645BB4">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w:bCs w:val="0"/>
                <w:color w:val="auto"/>
                <w:lang w:eastAsia="es-EC"/>
              </w:rPr>
            </w:pPr>
            <w:r w:rsidRPr="00DC4BB7">
              <w:rPr>
                <w:color w:val="auto"/>
              </w:rPr>
              <w:t>Valor α</w:t>
            </w:r>
          </w:p>
        </w:tc>
      </w:tr>
      <w:tr w:rsidR="00645BB4" w:rsidRPr="00FB1810" w:rsidTr="00645BB4">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2069" w:type="dxa"/>
            <w:noWrap/>
            <w:hideMark/>
          </w:tcPr>
          <w:p w:rsidR="00645BB4" w:rsidRPr="00DC4BB7" w:rsidRDefault="00A94028" w:rsidP="00645BB4">
            <w:pPr>
              <w:spacing w:after="0" w:line="240" w:lineRule="auto"/>
              <w:rPr>
                <w:rFonts w:ascii="Arial" w:eastAsia="Times New Roman" w:hAnsi="Arial" w:cs="Arial"/>
                <w:b w:val="0"/>
                <w:color w:val="auto"/>
                <w:sz w:val="20"/>
                <w:szCs w:val="20"/>
                <w:lang w:eastAsia="es-EC"/>
              </w:rPr>
            </w:pPr>
            <w:r w:rsidRPr="00DC4BB7">
              <w:rPr>
                <w:b w:val="0"/>
                <w:color w:val="auto"/>
              </w:rPr>
              <w:t>El Oro</w:t>
            </w:r>
          </w:p>
        </w:tc>
        <w:tc>
          <w:tcPr>
            <w:tcW w:w="1617" w:type="dxa"/>
            <w:noWrap/>
            <w:hideMark/>
          </w:tcPr>
          <w:p w:rsidR="00645BB4" w:rsidRPr="00DC4BB7" w:rsidRDefault="00A94028" w:rsidP="00645BB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auto"/>
                <w:lang w:eastAsia="es-EC"/>
              </w:rPr>
            </w:pPr>
            <w:r w:rsidRPr="00DC4BB7">
              <w:rPr>
                <w:color w:val="auto"/>
              </w:rPr>
              <w:t>0,46</w:t>
            </w:r>
          </w:p>
        </w:tc>
      </w:tr>
      <w:tr w:rsidR="00645BB4" w:rsidRPr="00FB1810" w:rsidTr="00645BB4">
        <w:trPr>
          <w:trHeight w:val="312"/>
          <w:jc w:val="center"/>
        </w:trPr>
        <w:tc>
          <w:tcPr>
            <w:cnfStyle w:val="001000000000" w:firstRow="0" w:lastRow="0" w:firstColumn="1" w:lastColumn="0" w:oddVBand="0" w:evenVBand="0" w:oddHBand="0" w:evenHBand="0" w:firstRowFirstColumn="0" w:firstRowLastColumn="0" w:lastRowFirstColumn="0" w:lastRowLastColumn="0"/>
            <w:tcW w:w="2069" w:type="dxa"/>
            <w:noWrap/>
            <w:hideMark/>
          </w:tcPr>
          <w:p w:rsidR="00645BB4" w:rsidRPr="00DC4BB7" w:rsidRDefault="00A94028" w:rsidP="00645BB4">
            <w:pPr>
              <w:spacing w:after="0" w:line="240" w:lineRule="auto"/>
              <w:rPr>
                <w:rFonts w:ascii="Arial" w:eastAsia="Times New Roman" w:hAnsi="Arial" w:cs="Arial"/>
                <w:b w:val="0"/>
                <w:color w:val="auto"/>
                <w:sz w:val="20"/>
                <w:szCs w:val="20"/>
                <w:lang w:eastAsia="es-EC"/>
              </w:rPr>
            </w:pPr>
            <w:r w:rsidRPr="00DC4BB7">
              <w:rPr>
                <w:b w:val="0"/>
                <w:color w:val="auto"/>
              </w:rPr>
              <w:t>Guayas</w:t>
            </w:r>
          </w:p>
        </w:tc>
        <w:tc>
          <w:tcPr>
            <w:tcW w:w="1617" w:type="dxa"/>
            <w:noWrap/>
            <w:hideMark/>
          </w:tcPr>
          <w:p w:rsidR="00645BB4" w:rsidRPr="00DC4BB7" w:rsidRDefault="00A94028" w:rsidP="00645B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auto"/>
                <w:lang w:eastAsia="es-EC"/>
              </w:rPr>
            </w:pPr>
            <w:r w:rsidRPr="00DC4BB7">
              <w:rPr>
                <w:color w:val="auto"/>
              </w:rPr>
              <w:t>0,10</w:t>
            </w:r>
          </w:p>
        </w:tc>
      </w:tr>
      <w:tr w:rsidR="00645BB4" w:rsidRPr="00FB1810" w:rsidTr="00645BB4">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2069" w:type="dxa"/>
            <w:noWrap/>
            <w:hideMark/>
          </w:tcPr>
          <w:p w:rsidR="00645BB4" w:rsidRPr="00DC4BB7" w:rsidRDefault="00A94028" w:rsidP="00645BB4">
            <w:pPr>
              <w:spacing w:after="0" w:line="240" w:lineRule="auto"/>
              <w:rPr>
                <w:rFonts w:ascii="Arial" w:eastAsia="Times New Roman" w:hAnsi="Arial" w:cs="Arial"/>
                <w:b w:val="0"/>
                <w:color w:val="auto"/>
                <w:sz w:val="20"/>
                <w:szCs w:val="20"/>
                <w:lang w:eastAsia="es-EC"/>
              </w:rPr>
            </w:pPr>
            <w:r w:rsidRPr="00DC4BB7">
              <w:rPr>
                <w:b w:val="0"/>
                <w:color w:val="auto"/>
              </w:rPr>
              <w:t>Los Ríos</w:t>
            </w:r>
          </w:p>
        </w:tc>
        <w:tc>
          <w:tcPr>
            <w:tcW w:w="1617" w:type="dxa"/>
            <w:noWrap/>
            <w:hideMark/>
          </w:tcPr>
          <w:p w:rsidR="00645BB4" w:rsidRPr="00DC4BB7" w:rsidRDefault="00A94028" w:rsidP="00645BB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auto"/>
                <w:lang w:eastAsia="es-EC"/>
              </w:rPr>
            </w:pPr>
            <w:r w:rsidRPr="00DC4BB7">
              <w:rPr>
                <w:color w:val="auto"/>
              </w:rPr>
              <w:t>0,53</w:t>
            </w:r>
          </w:p>
        </w:tc>
      </w:tr>
      <w:tr w:rsidR="00645BB4" w:rsidRPr="00FB1810" w:rsidTr="00645BB4">
        <w:trPr>
          <w:trHeight w:val="312"/>
          <w:jc w:val="center"/>
        </w:trPr>
        <w:tc>
          <w:tcPr>
            <w:cnfStyle w:val="001000000000" w:firstRow="0" w:lastRow="0" w:firstColumn="1" w:lastColumn="0" w:oddVBand="0" w:evenVBand="0" w:oddHBand="0" w:evenHBand="0" w:firstRowFirstColumn="0" w:firstRowLastColumn="0" w:lastRowFirstColumn="0" w:lastRowLastColumn="0"/>
            <w:tcW w:w="2069" w:type="dxa"/>
            <w:noWrap/>
            <w:hideMark/>
          </w:tcPr>
          <w:p w:rsidR="00645BB4" w:rsidRPr="00DC4BB7" w:rsidRDefault="00A94028" w:rsidP="00645BB4">
            <w:pPr>
              <w:spacing w:after="0" w:line="240" w:lineRule="auto"/>
              <w:rPr>
                <w:rFonts w:ascii="Arial" w:eastAsia="Times New Roman" w:hAnsi="Arial" w:cs="Arial"/>
                <w:b w:val="0"/>
                <w:color w:val="auto"/>
                <w:sz w:val="20"/>
                <w:szCs w:val="20"/>
                <w:lang w:eastAsia="es-EC"/>
              </w:rPr>
            </w:pPr>
            <w:r w:rsidRPr="00DC4BB7">
              <w:rPr>
                <w:b w:val="0"/>
                <w:color w:val="auto"/>
              </w:rPr>
              <w:t>Manabí</w:t>
            </w:r>
          </w:p>
        </w:tc>
        <w:tc>
          <w:tcPr>
            <w:tcW w:w="1617" w:type="dxa"/>
            <w:noWrap/>
            <w:hideMark/>
          </w:tcPr>
          <w:p w:rsidR="00645BB4" w:rsidRPr="00DC4BB7" w:rsidRDefault="00A94028" w:rsidP="00645B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auto"/>
                <w:lang w:eastAsia="es-EC"/>
              </w:rPr>
            </w:pPr>
            <w:r w:rsidRPr="00DC4BB7">
              <w:rPr>
                <w:color w:val="auto"/>
              </w:rPr>
              <w:t>0,54</w:t>
            </w:r>
          </w:p>
        </w:tc>
      </w:tr>
      <w:tr w:rsidR="00645BB4" w:rsidRPr="00FB1810" w:rsidTr="00645BB4">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2069" w:type="dxa"/>
            <w:noWrap/>
            <w:hideMark/>
          </w:tcPr>
          <w:p w:rsidR="00645BB4" w:rsidRPr="00DC4BB7" w:rsidRDefault="00A94028" w:rsidP="00645BB4">
            <w:pPr>
              <w:spacing w:after="0" w:line="240" w:lineRule="auto"/>
              <w:rPr>
                <w:rFonts w:ascii="Arial" w:eastAsia="Times New Roman" w:hAnsi="Arial" w:cs="Arial"/>
                <w:b w:val="0"/>
                <w:color w:val="auto"/>
                <w:sz w:val="20"/>
                <w:szCs w:val="20"/>
                <w:lang w:eastAsia="es-EC"/>
              </w:rPr>
            </w:pPr>
            <w:r w:rsidRPr="00DC4BB7">
              <w:rPr>
                <w:b w:val="0"/>
                <w:color w:val="auto"/>
              </w:rPr>
              <w:t>Resto País</w:t>
            </w:r>
          </w:p>
        </w:tc>
        <w:tc>
          <w:tcPr>
            <w:tcW w:w="1617" w:type="dxa"/>
            <w:noWrap/>
            <w:hideMark/>
          </w:tcPr>
          <w:p w:rsidR="00645BB4" w:rsidRPr="00DC4BB7" w:rsidRDefault="00A94028" w:rsidP="00645BB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auto"/>
                <w:lang w:eastAsia="es-EC"/>
              </w:rPr>
            </w:pPr>
            <w:r w:rsidRPr="00DC4BB7">
              <w:rPr>
                <w:color w:val="auto"/>
              </w:rPr>
              <w:t>0,64</w:t>
            </w:r>
          </w:p>
        </w:tc>
      </w:tr>
    </w:tbl>
    <w:p w:rsidR="00230CCF" w:rsidRDefault="00230CCF" w:rsidP="003A063B">
      <w:pPr>
        <w:spacing w:after="0"/>
        <w:jc w:val="both"/>
      </w:pPr>
    </w:p>
    <w:p w:rsidR="002853BF" w:rsidRDefault="00836724" w:rsidP="003A063B">
      <w:pPr>
        <w:spacing w:after="0"/>
        <w:jc w:val="both"/>
      </w:pPr>
      <w:r w:rsidRPr="00836724">
        <w:t>El test de sesgo de obsolescencia fue calculado de manera independiente tanto para la superficie plantada como para la superficie cosechada para cada uno de los cultivos en los dominios a trabajar, por lo tanto, los puntajes α son independiente para cada serie. El resto de las series empalmadas se podrán encontrar en los archivos .xlxs adjuntos al presente documento. En estos archivos se encontrarán todos los cálculos realizados para el empalme por interpolación estructural de ESPAC 2002-2014.</w:t>
      </w:r>
    </w:p>
    <w:p w:rsidR="00391965" w:rsidRDefault="00391965" w:rsidP="00391965">
      <w:r>
        <w:br w:type="page"/>
      </w:r>
    </w:p>
    <w:p w:rsidR="00A94028" w:rsidRDefault="001248CC" w:rsidP="00A94028">
      <w:pPr>
        <w:pStyle w:val="Ttulo2"/>
        <w:jc w:val="both"/>
      </w:pPr>
      <w:r>
        <w:lastRenderedPageBreak/>
        <w:t>CONCLUSIONES DEL EJERCICIO DE EMPALME POR INTERPOLACIÓN ESTRUCTURAL</w:t>
      </w:r>
    </w:p>
    <w:p w:rsidR="001248CC" w:rsidRPr="009A3CED" w:rsidRDefault="001248CC" w:rsidP="00E54872">
      <w:pPr>
        <w:rPr>
          <w:sz w:val="4"/>
        </w:rPr>
      </w:pPr>
    </w:p>
    <w:p w:rsidR="00391965" w:rsidRDefault="00391965" w:rsidP="00391965">
      <w:pPr>
        <w:pStyle w:val="Prrafodelista"/>
        <w:numPr>
          <w:ilvl w:val="0"/>
          <w:numId w:val="8"/>
        </w:numPr>
        <w:jc w:val="both"/>
      </w:pPr>
      <w:r>
        <w:t>El empalme por interpolación estructural es manifiestamente mejorable en los próximos años, puesto que se dispondrán de más datos en la serie y se podrán utilizar modelos más óptimos.</w:t>
      </w:r>
    </w:p>
    <w:p w:rsidR="00391965" w:rsidRDefault="00391965" w:rsidP="00391965">
      <w:pPr>
        <w:pStyle w:val="Prrafodelista"/>
        <w:jc w:val="both"/>
      </w:pPr>
    </w:p>
    <w:p w:rsidR="00391965" w:rsidRDefault="00391965" w:rsidP="00391965">
      <w:pPr>
        <w:pStyle w:val="Prrafodelista"/>
        <w:numPr>
          <w:ilvl w:val="0"/>
          <w:numId w:val="8"/>
        </w:numPr>
        <w:jc w:val="both"/>
      </w:pPr>
      <w:r>
        <w:t>Al realizar este ejercicio de empalme, existen ciertos cultivos donde en algunos dominios la superficie plantada es menor a la superficie cosechada. Esto se debe principalmente a características de cultivo que hacen que las diferencias entre estas superficies sean más o menos significativas al momento de calcular su sesgo de obsolescencia. El listado completo de las series que presentan este problema es el siguiente:</w:t>
      </w:r>
    </w:p>
    <w:p w:rsidR="00391965" w:rsidRPr="009A3CED" w:rsidRDefault="00391965" w:rsidP="00391965">
      <w:pPr>
        <w:pStyle w:val="Prrafodelista"/>
        <w:rPr>
          <w:sz w:val="2"/>
        </w:rPr>
      </w:pPr>
    </w:p>
    <w:p w:rsidR="00391965" w:rsidRDefault="00391965" w:rsidP="00391965">
      <w:pPr>
        <w:pStyle w:val="Epgrafe"/>
        <w:spacing w:after="0" w:line="276" w:lineRule="auto"/>
        <w:jc w:val="center"/>
        <w:rPr>
          <w:color w:val="auto"/>
          <w:sz w:val="22"/>
        </w:rPr>
      </w:pPr>
      <w:r>
        <w:rPr>
          <w:color w:val="auto"/>
          <w:sz w:val="22"/>
        </w:rPr>
        <w:t xml:space="preserve">Tabla </w:t>
      </w:r>
      <w:r w:rsidR="00603A26">
        <w:rPr>
          <w:color w:val="auto"/>
          <w:sz w:val="22"/>
        </w:rPr>
        <w:t>4</w:t>
      </w:r>
      <w:r w:rsidRPr="00896E8B">
        <w:rPr>
          <w:color w:val="auto"/>
          <w:sz w:val="22"/>
        </w:rPr>
        <w:t>.</w:t>
      </w:r>
      <w:r>
        <w:rPr>
          <w:color w:val="auto"/>
          <w:sz w:val="22"/>
        </w:rPr>
        <w:t xml:space="preserve"> Cultivos con diferencia negativa entre su superficie plantada y cosechada </w:t>
      </w:r>
    </w:p>
    <w:p w:rsidR="00391965" w:rsidRDefault="00391965" w:rsidP="00391965">
      <w:pPr>
        <w:pStyle w:val="Prrafodelista"/>
      </w:pPr>
    </w:p>
    <w:tbl>
      <w:tblPr>
        <w:tblStyle w:val="Sombreadoclaro-nfasis11"/>
        <w:tblW w:w="4601" w:type="dxa"/>
        <w:tblInd w:w="2410" w:type="dxa"/>
        <w:tblLook w:val="04A0" w:firstRow="1" w:lastRow="0" w:firstColumn="1" w:lastColumn="0" w:noHBand="0" w:noVBand="1"/>
      </w:tblPr>
      <w:tblGrid>
        <w:gridCol w:w="1701"/>
        <w:gridCol w:w="1292"/>
        <w:gridCol w:w="1608"/>
      </w:tblGrid>
      <w:tr w:rsidR="00391965" w:rsidRPr="00391965" w:rsidTr="00391965">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1" w:type="dxa"/>
            <w:noWrap/>
            <w:vAlign w:val="center"/>
            <w:hideMark/>
          </w:tcPr>
          <w:p w:rsidR="00391965" w:rsidRPr="00391965" w:rsidRDefault="00391965" w:rsidP="00391965">
            <w:pPr>
              <w:spacing w:after="0" w:line="240" w:lineRule="auto"/>
              <w:jc w:val="center"/>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Producto</w:t>
            </w:r>
          </w:p>
        </w:tc>
        <w:tc>
          <w:tcPr>
            <w:tcW w:w="1292" w:type="dxa"/>
            <w:noWrap/>
            <w:vAlign w:val="center"/>
            <w:hideMark/>
          </w:tcPr>
          <w:p w:rsidR="00391965" w:rsidRPr="00391965" w:rsidRDefault="00391965" w:rsidP="0039196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Provincia</w:t>
            </w:r>
          </w:p>
        </w:tc>
        <w:tc>
          <w:tcPr>
            <w:tcW w:w="1608" w:type="dxa"/>
            <w:noWrap/>
            <w:vAlign w:val="center"/>
            <w:hideMark/>
          </w:tcPr>
          <w:p w:rsidR="00391965" w:rsidRPr="00391965" w:rsidRDefault="00391965" w:rsidP="0039196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Años con inconvenientes</w:t>
            </w:r>
          </w:p>
        </w:tc>
      </w:tr>
      <w:tr w:rsidR="00391965" w:rsidRPr="00391965" w:rsidTr="003919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1" w:type="dxa"/>
            <w:noWrap/>
            <w:hideMark/>
          </w:tcPr>
          <w:p w:rsidR="00391965" w:rsidRPr="00391965" w:rsidRDefault="00391965" w:rsidP="00391965">
            <w:pPr>
              <w:spacing w:after="0" w:line="240" w:lineRule="auto"/>
              <w:rPr>
                <w:rFonts w:asciiTheme="minorHAnsi" w:eastAsia="Times New Roman" w:hAnsiTheme="minorHAnsi" w:cs="Arial"/>
                <w:b w:val="0"/>
                <w:color w:val="000000" w:themeColor="text1"/>
                <w:lang w:eastAsia="es-EC"/>
              </w:rPr>
            </w:pPr>
            <w:r w:rsidRPr="00391965">
              <w:rPr>
                <w:rFonts w:asciiTheme="minorHAnsi" w:eastAsia="Times New Roman" w:hAnsiTheme="minorHAnsi" w:cs="Arial"/>
                <w:b w:val="0"/>
                <w:color w:val="000000" w:themeColor="text1"/>
                <w:lang w:eastAsia="es-EC"/>
              </w:rPr>
              <w:t>Banano</w:t>
            </w:r>
          </w:p>
        </w:tc>
        <w:tc>
          <w:tcPr>
            <w:tcW w:w="1292" w:type="dxa"/>
            <w:noWrap/>
            <w:hideMark/>
          </w:tcPr>
          <w:p w:rsidR="00391965" w:rsidRPr="00391965" w:rsidRDefault="00391965" w:rsidP="00391965">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Guayas</w:t>
            </w:r>
          </w:p>
        </w:tc>
        <w:tc>
          <w:tcPr>
            <w:tcW w:w="1608" w:type="dxa"/>
            <w:noWrap/>
            <w:hideMark/>
          </w:tcPr>
          <w:p w:rsidR="00391965" w:rsidRPr="00391965" w:rsidRDefault="00391965" w:rsidP="00391965">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1</w:t>
            </w:r>
          </w:p>
        </w:tc>
      </w:tr>
      <w:tr w:rsidR="00391965" w:rsidRPr="00391965" w:rsidTr="00391965">
        <w:trPr>
          <w:trHeight w:val="288"/>
        </w:trPr>
        <w:tc>
          <w:tcPr>
            <w:cnfStyle w:val="001000000000" w:firstRow="0" w:lastRow="0" w:firstColumn="1" w:lastColumn="0" w:oddVBand="0" w:evenVBand="0" w:oddHBand="0" w:evenHBand="0" w:firstRowFirstColumn="0" w:firstRowLastColumn="0" w:lastRowFirstColumn="0" w:lastRowLastColumn="0"/>
            <w:tcW w:w="1701" w:type="dxa"/>
            <w:noWrap/>
            <w:hideMark/>
          </w:tcPr>
          <w:p w:rsidR="00391965" w:rsidRPr="00391965" w:rsidRDefault="00391965" w:rsidP="00391965">
            <w:pPr>
              <w:spacing w:after="0" w:line="240" w:lineRule="auto"/>
              <w:rPr>
                <w:rFonts w:asciiTheme="minorHAnsi" w:eastAsia="Times New Roman" w:hAnsiTheme="minorHAnsi" w:cs="Arial"/>
                <w:b w:val="0"/>
                <w:color w:val="000000" w:themeColor="text1"/>
                <w:lang w:eastAsia="es-EC"/>
              </w:rPr>
            </w:pPr>
            <w:r w:rsidRPr="00391965">
              <w:rPr>
                <w:rFonts w:asciiTheme="minorHAnsi" w:eastAsia="Times New Roman" w:hAnsiTheme="minorHAnsi" w:cs="Arial"/>
                <w:b w:val="0"/>
                <w:color w:val="000000" w:themeColor="text1"/>
                <w:lang w:eastAsia="es-EC"/>
              </w:rPr>
              <w:t>Banano</w:t>
            </w:r>
          </w:p>
        </w:tc>
        <w:tc>
          <w:tcPr>
            <w:tcW w:w="1292" w:type="dxa"/>
            <w:noWrap/>
            <w:hideMark/>
          </w:tcPr>
          <w:p w:rsidR="00391965" w:rsidRPr="00391965" w:rsidRDefault="00391965" w:rsidP="00391965">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Los Ríos</w:t>
            </w:r>
          </w:p>
        </w:tc>
        <w:tc>
          <w:tcPr>
            <w:tcW w:w="1608" w:type="dxa"/>
            <w:noWrap/>
            <w:hideMark/>
          </w:tcPr>
          <w:p w:rsidR="00391965" w:rsidRPr="00391965" w:rsidRDefault="00391965" w:rsidP="00391965">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9</w:t>
            </w:r>
          </w:p>
        </w:tc>
      </w:tr>
      <w:tr w:rsidR="00391965" w:rsidRPr="00391965" w:rsidTr="003919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1" w:type="dxa"/>
            <w:noWrap/>
            <w:hideMark/>
          </w:tcPr>
          <w:p w:rsidR="00391965" w:rsidRPr="00391965" w:rsidRDefault="00391965" w:rsidP="00391965">
            <w:pPr>
              <w:spacing w:after="0" w:line="240" w:lineRule="auto"/>
              <w:rPr>
                <w:rFonts w:asciiTheme="minorHAnsi" w:eastAsia="Times New Roman" w:hAnsiTheme="minorHAnsi" w:cs="Arial"/>
                <w:b w:val="0"/>
                <w:color w:val="000000" w:themeColor="text1"/>
                <w:lang w:eastAsia="es-EC"/>
              </w:rPr>
            </w:pPr>
            <w:r w:rsidRPr="00391965">
              <w:rPr>
                <w:rFonts w:asciiTheme="minorHAnsi" w:eastAsia="Times New Roman" w:hAnsiTheme="minorHAnsi" w:cs="Arial"/>
                <w:b w:val="0"/>
                <w:color w:val="000000" w:themeColor="text1"/>
                <w:lang w:eastAsia="es-EC"/>
              </w:rPr>
              <w:t>Cacao</w:t>
            </w:r>
          </w:p>
        </w:tc>
        <w:tc>
          <w:tcPr>
            <w:tcW w:w="1292" w:type="dxa"/>
            <w:noWrap/>
            <w:hideMark/>
          </w:tcPr>
          <w:p w:rsidR="00391965" w:rsidRPr="00391965" w:rsidRDefault="00391965" w:rsidP="00391965">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w:t>
            </w:r>
          </w:p>
        </w:tc>
        <w:tc>
          <w:tcPr>
            <w:tcW w:w="1608" w:type="dxa"/>
            <w:noWrap/>
            <w:hideMark/>
          </w:tcPr>
          <w:p w:rsidR="00391965" w:rsidRPr="00391965" w:rsidRDefault="00391965" w:rsidP="00391965">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w:t>
            </w:r>
          </w:p>
        </w:tc>
      </w:tr>
      <w:tr w:rsidR="00391965" w:rsidRPr="00391965" w:rsidTr="00391965">
        <w:trPr>
          <w:trHeight w:val="288"/>
        </w:trPr>
        <w:tc>
          <w:tcPr>
            <w:cnfStyle w:val="001000000000" w:firstRow="0" w:lastRow="0" w:firstColumn="1" w:lastColumn="0" w:oddVBand="0" w:evenVBand="0" w:oddHBand="0" w:evenHBand="0" w:firstRowFirstColumn="0" w:firstRowLastColumn="0" w:lastRowFirstColumn="0" w:lastRowLastColumn="0"/>
            <w:tcW w:w="1701" w:type="dxa"/>
            <w:noWrap/>
            <w:hideMark/>
          </w:tcPr>
          <w:p w:rsidR="00391965" w:rsidRPr="00391965" w:rsidRDefault="00391965" w:rsidP="00391965">
            <w:pPr>
              <w:spacing w:after="0" w:line="240" w:lineRule="auto"/>
              <w:rPr>
                <w:rFonts w:asciiTheme="minorHAnsi" w:eastAsia="Times New Roman" w:hAnsiTheme="minorHAnsi" w:cs="Arial"/>
                <w:b w:val="0"/>
                <w:color w:val="000000" w:themeColor="text1"/>
                <w:lang w:eastAsia="es-EC"/>
              </w:rPr>
            </w:pPr>
            <w:r w:rsidRPr="00391965">
              <w:rPr>
                <w:rFonts w:asciiTheme="minorHAnsi" w:eastAsia="Times New Roman" w:hAnsiTheme="minorHAnsi" w:cs="Arial"/>
                <w:b w:val="0"/>
                <w:color w:val="000000" w:themeColor="text1"/>
                <w:lang w:eastAsia="es-EC"/>
              </w:rPr>
              <w:t xml:space="preserve">Café </w:t>
            </w:r>
          </w:p>
        </w:tc>
        <w:tc>
          <w:tcPr>
            <w:tcW w:w="1292" w:type="dxa"/>
            <w:noWrap/>
            <w:hideMark/>
          </w:tcPr>
          <w:p w:rsidR="00391965" w:rsidRPr="00391965" w:rsidRDefault="00391965" w:rsidP="00391965">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Loja</w:t>
            </w:r>
          </w:p>
        </w:tc>
        <w:tc>
          <w:tcPr>
            <w:tcW w:w="1608" w:type="dxa"/>
            <w:noWrap/>
            <w:hideMark/>
          </w:tcPr>
          <w:p w:rsidR="00391965" w:rsidRPr="00391965" w:rsidRDefault="00391965" w:rsidP="00391965">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5</w:t>
            </w:r>
          </w:p>
        </w:tc>
      </w:tr>
      <w:tr w:rsidR="00391965" w:rsidRPr="00391965" w:rsidTr="003919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1" w:type="dxa"/>
            <w:noWrap/>
            <w:hideMark/>
          </w:tcPr>
          <w:p w:rsidR="00A575A1" w:rsidRDefault="00391965">
            <w:pPr>
              <w:spacing w:after="0" w:line="240" w:lineRule="auto"/>
              <w:rPr>
                <w:rFonts w:asciiTheme="minorHAnsi" w:eastAsia="Times New Roman" w:hAnsiTheme="minorHAnsi" w:cs="Arial"/>
                <w:b w:val="0"/>
                <w:bCs w:val="0"/>
                <w:color w:val="000000" w:themeColor="text1"/>
                <w:lang w:eastAsia="es-EC"/>
              </w:rPr>
            </w:pPr>
            <w:r w:rsidRPr="00391965">
              <w:rPr>
                <w:rFonts w:asciiTheme="minorHAnsi" w:eastAsia="Times New Roman" w:hAnsiTheme="minorHAnsi" w:cs="Arial"/>
                <w:b w:val="0"/>
                <w:color w:val="000000" w:themeColor="text1"/>
                <w:lang w:eastAsia="es-EC"/>
              </w:rPr>
              <w:t xml:space="preserve">Caña de </w:t>
            </w:r>
            <w:r w:rsidR="008F5FEF">
              <w:rPr>
                <w:rFonts w:asciiTheme="minorHAnsi" w:eastAsia="Times New Roman" w:hAnsiTheme="minorHAnsi" w:cs="Arial"/>
                <w:b w:val="0"/>
                <w:color w:val="000000" w:themeColor="text1"/>
                <w:lang w:eastAsia="es-EC"/>
              </w:rPr>
              <w:t>a</w:t>
            </w:r>
            <w:r w:rsidR="008F5FEF" w:rsidRPr="00391965">
              <w:rPr>
                <w:rFonts w:asciiTheme="minorHAnsi" w:eastAsia="Times New Roman" w:hAnsiTheme="minorHAnsi" w:cs="Arial"/>
                <w:b w:val="0"/>
                <w:color w:val="000000" w:themeColor="text1"/>
                <w:lang w:eastAsia="es-EC"/>
              </w:rPr>
              <w:t>zúcar</w:t>
            </w:r>
            <w:r w:rsidR="008F5FEF">
              <w:rPr>
                <w:rFonts w:asciiTheme="minorHAnsi" w:eastAsia="Times New Roman" w:hAnsiTheme="minorHAnsi" w:cs="Arial"/>
                <w:b w:val="0"/>
                <w:color w:val="000000" w:themeColor="text1"/>
                <w:lang w:eastAsia="es-EC"/>
              </w:rPr>
              <w:t xml:space="preserve"> para azúcar</w:t>
            </w:r>
          </w:p>
        </w:tc>
        <w:tc>
          <w:tcPr>
            <w:tcW w:w="1292" w:type="dxa"/>
            <w:noWrap/>
            <w:hideMark/>
          </w:tcPr>
          <w:p w:rsidR="00391965" w:rsidRPr="00391965" w:rsidRDefault="00391965" w:rsidP="00391965">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w:t>
            </w:r>
          </w:p>
        </w:tc>
        <w:tc>
          <w:tcPr>
            <w:tcW w:w="1608" w:type="dxa"/>
            <w:noWrap/>
            <w:hideMark/>
          </w:tcPr>
          <w:p w:rsidR="00391965" w:rsidRPr="00391965" w:rsidRDefault="00391965" w:rsidP="00391965">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w:t>
            </w:r>
          </w:p>
        </w:tc>
      </w:tr>
      <w:tr w:rsidR="00391965" w:rsidRPr="00391965" w:rsidTr="00391965">
        <w:trPr>
          <w:trHeight w:val="288"/>
        </w:trPr>
        <w:tc>
          <w:tcPr>
            <w:cnfStyle w:val="001000000000" w:firstRow="0" w:lastRow="0" w:firstColumn="1" w:lastColumn="0" w:oddVBand="0" w:evenVBand="0" w:oddHBand="0" w:evenHBand="0" w:firstRowFirstColumn="0" w:firstRowLastColumn="0" w:lastRowFirstColumn="0" w:lastRowLastColumn="0"/>
            <w:tcW w:w="1701" w:type="dxa"/>
            <w:noWrap/>
            <w:hideMark/>
          </w:tcPr>
          <w:p w:rsidR="00A575A1" w:rsidRDefault="00391965">
            <w:pPr>
              <w:spacing w:after="0" w:line="240" w:lineRule="auto"/>
              <w:rPr>
                <w:rFonts w:asciiTheme="minorHAnsi" w:eastAsia="Times New Roman" w:hAnsiTheme="minorHAnsi" w:cs="Arial"/>
                <w:b w:val="0"/>
                <w:bCs w:val="0"/>
                <w:color w:val="000000" w:themeColor="text1"/>
                <w:lang w:eastAsia="es-EC"/>
              </w:rPr>
            </w:pPr>
            <w:r w:rsidRPr="00391965">
              <w:rPr>
                <w:rFonts w:asciiTheme="minorHAnsi" w:eastAsia="Times New Roman" w:hAnsiTheme="minorHAnsi" w:cs="Arial"/>
                <w:b w:val="0"/>
                <w:color w:val="000000" w:themeColor="text1"/>
                <w:lang w:eastAsia="es-EC"/>
              </w:rPr>
              <w:t xml:space="preserve">Palma </w:t>
            </w:r>
            <w:r w:rsidR="008F5FEF">
              <w:rPr>
                <w:rFonts w:asciiTheme="minorHAnsi" w:eastAsia="Times New Roman" w:hAnsiTheme="minorHAnsi" w:cs="Arial"/>
                <w:b w:val="0"/>
                <w:color w:val="000000" w:themeColor="text1"/>
                <w:lang w:eastAsia="es-EC"/>
              </w:rPr>
              <w:t>a</w:t>
            </w:r>
            <w:r w:rsidR="008F5FEF" w:rsidRPr="00391965">
              <w:rPr>
                <w:rFonts w:asciiTheme="minorHAnsi" w:eastAsia="Times New Roman" w:hAnsiTheme="minorHAnsi" w:cs="Arial"/>
                <w:b w:val="0"/>
                <w:color w:val="000000" w:themeColor="text1"/>
                <w:lang w:eastAsia="es-EC"/>
              </w:rPr>
              <w:t>fricana</w:t>
            </w:r>
          </w:p>
        </w:tc>
        <w:tc>
          <w:tcPr>
            <w:tcW w:w="1292" w:type="dxa"/>
            <w:noWrap/>
            <w:hideMark/>
          </w:tcPr>
          <w:p w:rsidR="00391965" w:rsidRPr="00391965" w:rsidRDefault="00391965" w:rsidP="00391965">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Esmeraldas</w:t>
            </w:r>
          </w:p>
        </w:tc>
        <w:tc>
          <w:tcPr>
            <w:tcW w:w="1608" w:type="dxa"/>
            <w:noWrap/>
            <w:hideMark/>
          </w:tcPr>
          <w:p w:rsidR="00391965" w:rsidRPr="00391965" w:rsidRDefault="00391965" w:rsidP="00391965">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1</w:t>
            </w:r>
          </w:p>
        </w:tc>
      </w:tr>
      <w:tr w:rsidR="00391965" w:rsidRPr="00391965" w:rsidTr="003919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1" w:type="dxa"/>
            <w:noWrap/>
            <w:hideMark/>
          </w:tcPr>
          <w:p w:rsidR="00A575A1" w:rsidRDefault="00391965">
            <w:pPr>
              <w:spacing w:after="0" w:line="240" w:lineRule="auto"/>
              <w:rPr>
                <w:rFonts w:asciiTheme="minorHAnsi" w:eastAsia="Times New Roman" w:hAnsiTheme="minorHAnsi" w:cs="Arial"/>
                <w:b w:val="0"/>
                <w:bCs w:val="0"/>
                <w:color w:val="000000" w:themeColor="text1"/>
                <w:lang w:eastAsia="es-EC"/>
              </w:rPr>
            </w:pPr>
            <w:r w:rsidRPr="00391965">
              <w:rPr>
                <w:rFonts w:asciiTheme="minorHAnsi" w:eastAsia="Times New Roman" w:hAnsiTheme="minorHAnsi" w:cs="Arial"/>
                <w:b w:val="0"/>
                <w:color w:val="000000" w:themeColor="text1"/>
                <w:lang w:eastAsia="es-EC"/>
              </w:rPr>
              <w:t xml:space="preserve">Palma </w:t>
            </w:r>
            <w:r w:rsidR="008F5FEF">
              <w:rPr>
                <w:rFonts w:asciiTheme="minorHAnsi" w:eastAsia="Times New Roman" w:hAnsiTheme="minorHAnsi" w:cs="Arial"/>
                <w:b w:val="0"/>
                <w:color w:val="000000" w:themeColor="text1"/>
                <w:lang w:eastAsia="es-EC"/>
              </w:rPr>
              <w:t>a</w:t>
            </w:r>
            <w:r w:rsidR="008F5FEF" w:rsidRPr="00391965">
              <w:rPr>
                <w:rFonts w:asciiTheme="minorHAnsi" w:eastAsia="Times New Roman" w:hAnsiTheme="minorHAnsi" w:cs="Arial"/>
                <w:b w:val="0"/>
                <w:color w:val="000000" w:themeColor="text1"/>
                <w:lang w:eastAsia="es-EC"/>
              </w:rPr>
              <w:t>fricana</w:t>
            </w:r>
          </w:p>
        </w:tc>
        <w:tc>
          <w:tcPr>
            <w:tcW w:w="1292" w:type="dxa"/>
            <w:noWrap/>
            <w:hideMark/>
          </w:tcPr>
          <w:p w:rsidR="00391965" w:rsidRPr="00391965" w:rsidRDefault="00391965" w:rsidP="00391965">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Resto país</w:t>
            </w:r>
          </w:p>
        </w:tc>
        <w:tc>
          <w:tcPr>
            <w:tcW w:w="1608" w:type="dxa"/>
            <w:noWrap/>
            <w:hideMark/>
          </w:tcPr>
          <w:p w:rsidR="00391965" w:rsidRPr="00391965" w:rsidRDefault="00391965" w:rsidP="00391965">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1</w:t>
            </w:r>
          </w:p>
        </w:tc>
      </w:tr>
      <w:tr w:rsidR="00391965" w:rsidRPr="00391965" w:rsidTr="00391965">
        <w:trPr>
          <w:trHeight w:val="288"/>
        </w:trPr>
        <w:tc>
          <w:tcPr>
            <w:cnfStyle w:val="001000000000" w:firstRow="0" w:lastRow="0" w:firstColumn="1" w:lastColumn="0" w:oddVBand="0" w:evenVBand="0" w:oddHBand="0" w:evenHBand="0" w:firstRowFirstColumn="0" w:firstRowLastColumn="0" w:lastRowFirstColumn="0" w:lastRowLastColumn="0"/>
            <w:tcW w:w="1701" w:type="dxa"/>
            <w:noWrap/>
            <w:hideMark/>
          </w:tcPr>
          <w:p w:rsidR="00391965" w:rsidRPr="00391965" w:rsidRDefault="00391965" w:rsidP="00391965">
            <w:pPr>
              <w:spacing w:after="0" w:line="240" w:lineRule="auto"/>
              <w:rPr>
                <w:rFonts w:asciiTheme="minorHAnsi" w:eastAsia="Times New Roman" w:hAnsiTheme="minorHAnsi" w:cs="Arial"/>
                <w:b w:val="0"/>
                <w:color w:val="000000" w:themeColor="text1"/>
                <w:lang w:eastAsia="es-EC"/>
              </w:rPr>
            </w:pPr>
            <w:r w:rsidRPr="00391965">
              <w:rPr>
                <w:rFonts w:asciiTheme="minorHAnsi" w:eastAsia="Times New Roman" w:hAnsiTheme="minorHAnsi" w:cs="Arial"/>
                <w:b w:val="0"/>
                <w:color w:val="000000" w:themeColor="text1"/>
                <w:lang w:eastAsia="es-EC"/>
              </w:rPr>
              <w:t>Arroz</w:t>
            </w:r>
          </w:p>
        </w:tc>
        <w:tc>
          <w:tcPr>
            <w:tcW w:w="1292" w:type="dxa"/>
            <w:noWrap/>
            <w:hideMark/>
          </w:tcPr>
          <w:p w:rsidR="00391965" w:rsidRPr="00391965" w:rsidRDefault="00391965" w:rsidP="00391965">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w:t>
            </w:r>
          </w:p>
        </w:tc>
        <w:tc>
          <w:tcPr>
            <w:tcW w:w="1608" w:type="dxa"/>
            <w:noWrap/>
            <w:hideMark/>
          </w:tcPr>
          <w:p w:rsidR="00391965" w:rsidRPr="00391965" w:rsidRDefault="00391965" w:rsidP="00391965">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w:t>
            </w:r>
          </w:p>
        </w:tc>
      </w:tr>
      <w:tr w:rsidR="00391965" w:rsidRPr="00391965" w:rsidTr="003919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1" w:type="dxa"/>
            <w:noWrap/>
            <w:hideMark/>
          </w:tcPr>
          <w:p w:rsidR="00391965" w:rsidRPr="00391965" w:rsidRDefault="00391965" w:rsidP="00391965">
            <w:pPr>
              <w:spacing w:after="0" w:line="240" w:lineRule="auto"/>
              <w:rPr>
                <w:rFonts w:asciiTheme="minorHAnsi" w:eastAsia="Times New Roman" w:hAnsiTheme="minorHAnsi" w:cs="Arial"/>
                <w:b w:val="0"/>
                <w:color w:val="000000" w:themeColor="text1"/>
                <w:lang w:eastAsia="es-EC"/>
              </w:rPr>
            </w:pPr>
            <w:r w:rsidRPr="00391965">
              <w:rPr>
                <w:rFonts w:asciiTheme="minorHAnsi" w:eastAsia="Times New Roman" w:hAnsiTheme="minorHAnsi" w:cs="Arial"/>
                <w:b w:val="0"/>
                <w:color w:val="000000" w:themeColor="text1"/>
                <w:lang w:eastAsia="es-EC"/>
              </w:rPr>
              <w:t>Maíz duro seco</w:t>
            </w:r>
          </w:p>
        </w:tc>
        <w:tc>
          <w:tcPr>
            <w:tcW w:w="1292" w:type="dxa"/>
            <w:noWrap/>
            <w:hideMark/>
          </w:tcPr>
          <w:p w:rsidR="00391965" w:rsidRPr="00391965" w:rsidRDefault="00391965" w:rsidP="00391965">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w:t>
            </w:r>
          </w:p>
        </w:tc>
        <w:tc>
          <w:tcPr>
            <w:tcW w:w="1608" w:type="dxa"/>
            <w:noWrap/>
            <w:hideMark/>
          </w:tcPr>
          <w:p w:rsidR="00391965" w:rsidRPr="00391965" w:rsidRDefault="00391965" w:rsidP="00391965">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w:t>
            </w:r>
          </w:p>
        </w:tc>
      </w:tr>
      <w:tr w:rsidR="00391965" w:rsidRPr="00391965" w:rsidTr="00391965">
        <w:trPr>
          <w:trHeight w:val="288"/>
        </w:trPr>
        <w:tc>
          <w:tcPr>
            <w:cnfStyle w:val="001000000000" w:firstRow="0" w:lastRow="0" w:firstColumn="1" w:lastColumn="0" w:oddVBand="0" w:evenVBand="0" w:oddHBand="0" w:evenHBand="0" w:firstRowFirstColumn="0" w:firstRowLastColumn="0" w:lastRowFirstColumn="0" w:lastRowLastColumn="0"/>
            <w:tcW w:w="1701" w:type="dxa"/>
            <w:noWrap/>
            <w:hideMark/>
          </w:tcPr>
          <w:p w:rsidR="00391965" w:rsidRPr="00391965" w:rsidRDefault="00391965" w:rsidP="00391965">
            <w:pPr>
              <w:spacing w:after="0" w:line="240" w:lineRule="auto"/>
              <w:rPr>
                <w:rFonts w:asciiTheme="minorHAnsi" w:eastAsia="Times New Roman" w:hAnsiTheme="minorHAnsi" w:cs="Arial"/>
                <w:b w:val="0"/>
                <w:color w:val="000000" w:themeColor="text1"/>
                <w:lang w:eastAsia="es-EC"/>
              </w:rPr>
            </w:pPr>
            <w:r w:rsidRPr="00391965">
              <w:rPr>
                <w:rFonts w:asciiTheme="minorHAnsi" w:eastAsia="Times New Roman" w:hAnsiTheme="minorHAnsi" w:cs="Arial"/>
                <w:b w:val="0"/>
                <w:color w:val="000000" w:themeColor="text1"/>
                <w:lang w:eastAsia="es-EC"/>
              </w:rPr>
              <w:t>Papa</w:t>
            </w:r>
          </w:p>
        </w:tc>
        <w:tc>
          <w:tcPr>
            <w:tcW w:w="1292" w:type="dxa"/>
            <w:noWrap/>
            <w:hideMark/>
          </w:tcPr>
          <w:p w:rsidR="00391965" w:rsidRPr="00391965" w:rsidRDefault="00391965" w:rsidP="00391965">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 xml:space="preserve">Cañar </w:t>
            </w:r>
          </w:p>
        </w:tc>
        <w:tc>
          <w:tcPr>
            <w:tcW w:w="1608" w:type="dxa"/>
            <w:noWrap/>
            <w:hideMark/>
          </w:tcPr>
          <w:p w:rsidR="00391965" w:rsidRPr="00391965" w:rsidRDefault="00391965" w:rsidP="00391965">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1</w:t>
            </w:r>
          </w:p>
        </w:tc>
      </w:tr>
      <w:tr w:rsidR="00391965" w:rsidRPr="00391965" w:rsidTr="003919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1" w:type="dxa"/>
            <w:noWrap/>
            <w:hideMark/>
          </w:tcPr>
          <w:p w:rsidR="00391965" w:rsidRPr="00391965" w:rsidRDefault="00391965" w:rsidP="00391965">
            <w:pPr>
              <w:spacing w:after="0" w:line="240" w:lineRule="auto"/>
              <w:rPr>
                <w:rFonts w:asciiTheme="minorHAnsi" w:eastAsia="Times New Roman" w:hAnsiTheme="minorHAnsi" w:cs="Arial"/>
                <w:b w:val="0"/>
                <w:color w:val="000000" w:themeColor="text1"/>
                <w:lang w:eastAsia="es-EC"/>
              </w:rPr>
            </w:pPr>
            <w:r w:rsidRPr="00391965">
              <w:rPr>
                <w:rFonts w:asciiTheme="minorHAnsi" w:eastAsia="Times New Roman" w:hAnsiTheme="minorHAnsi" w:cs="Arial"/>
                <w:b w:val="0"/>
                <w:color w:val="000000" w:themeColor="text1"/>
                <w:lang w:eastAsia="es-EC"/>
              </w:rPr>
              <w:t>Papa</w:t>
            </w:r>
          </w:p>
        </w:tc>
        <w:tc>
          <w:tcPr>
            <w:tcW w:w="1292" w:type="dxa"/>
            <w:noWrap/>
            <w:hideMark/>
          </w:tcPr>
          <w:p w:rsidR="00391965" w:rsidRPr="00391965" w:rsidRDefault="00391965" w:rsidP="00391965">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Carchi</w:t>
            </w:r>
          </w:p>
        </w:tc>
        <w:tc>
          <w:tcPr>
            <w:tcW w:w="1608" w:type="dxa"/>
            <w:noWrap/>
            <w:hideMark/>
          </w:tcPr>
          <w:p w:rsidR="00391965" w:rsidRPr="00391965" w:rsidRDefault="00391965" w:rsidP="00391965">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1</w:t>
            </w:r>
          </w:p>
        </w:tc>
      </w:tr>
      <w:tr w:rsidR="00391965" w:rsidRPr="00391965" w:rsidTr="00391965">
        <w:trPr>
          <w:trHeight w:val="288"/>
        </w:trPr>
        <w:tc>
          <w:tcPr>
            <w:cnfStyle w:val="001000000000" w:firstRow="0" w:lastRow="0" w:firstColumn="1" w:lastColumn="0" w:oddVBand="0" w:evenVBand="0" w:oddHBand="0" w:evenHBand="0" w:firstRowFirstColumn="0" w:firstRowLastColumn="0" w:lastRowFirstColumn="0" w:lastRowLastColumn="0"/>
            <w:tcW w:w="1701" w:type="dxa"/>
            <w:noWrap/>
            <w:hideMark/>
          </w:tcPr>
          <w:p w:rsidR="00391965" w:rsidRPr="00391965" w:rsidRDefault="00391965" w:rsidP="00391965">
            <w:pPr>
              <w:spacing w:after="0" w:line="240" w:lineRule="auto"/>
              <w:rPr>
                <w:rFonts w:asciiTheme="minorHAnsi" w:eastAsia="Times New Roman" w:hAnsiTheme="minorHAnsi" w:cs="Arial"/>
                <w:b w:val="0"/>
                <w:color w:val="000000" w:themeColor="text1"/>
                <w:lang w:eastAsia="es-EC"/>
              </w:rPr>
            </w:pPr>
            <w:r w:rsidRPr="00391965">
              <w:rPr>
                <w:rFonts w:asciiTheme="minorHAnsi" w:eastAsia="Times New Roman" w:hAnsiTheme="minorHAnsi" w:cs="Arial"/>
                <w:b w:val="0"/>
                <w:color w:val="000000" w:themeColor="text1"/>
                <w:lang w:eastAsia="es-EC"/>
              </w:rPr>
              <w:t>Papa</w:t>
            </w:r>
          </w:p>
        </w:tc>
        <w:tc>
          <w:tcPr>
            <w:tcW w:w="1292" w:type="dxa"/>
            <w:noWrap/>
            <w:hideMark/>
          </w:tcPr>
          <w:p w:rsidR="00391965" w:rsidRPr="00391965" w:rsidRDefault="00391965" w:rsidP="00391965">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Chimborazo</w:t>
            </w:r>
          </w:p>
        </w:tc>
        <w:tc>
          <w:tcPr>
            <w:tcW w:w="1608" w:type="dxa"/>
            <w:noWrap/>
            <w:hideMark/>
          </w:tcPr>
          <w:p w:rsidR="00391965" w:rsidRPr="00391965" w:rsidRDefault="00391965" w:rsidP="00391965">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1</w:t>
            </w:r>
          </w:p>
        </w:tc>
      </w:tr>
      <w:tr w:rsidR="00391965" w:rsidRPr="00391965" w:rsidTr="003919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1" w:type="dxa"/>
            <w:noWrap/>
            <w:hideMark/>
          </w:tcPr>
          <w:p w:rsidR="00391965" w:rsidRPr="00391965" w:rsidRDefault="00391965" w:rsidP="00391965">
            <w:pPr>
              <w:spacing w:after="0" w:line="240" w:lineRule="auto"/>
              <w:rPr>
                <w:rFonts w:asciiTheme="minorHAnsi" w:eastAsia="Times New Roman" w:hAnsiTheme="minorHAnsi" w:cs="Arial"/>
                <w:b w:val="0"/>
                <w:color w:val="000000" w:themeColor="text1"/>
                <w:lang w:eastAsia="es-EC"/>
              </w:rPr>
            </w:pPr>
            <w:r w:rsidRPr="00391965">
              <w:rPr>
                <w:rFonts w:asciiTheme="minorHAnsi" w:eastAsia="Times New Roman" w:hAnsiTheme="minorHAnsi" w:cs="Arial"/>
                <w:b w:val="0"/>
                <w:color w:val="000000" w:themeColor="text1"/>
                <w:lang w:eastAsia="es-EC"/>
              </w:rPr>
              <w:t>Papa</w:t>
            </w:r>
          </w:p>
        </w:tc>
        <w:tc>
          <w:tcPr>
            <w:tcW w:w="1292" w:type="dxa"/>
            <w:noWrap/>
            <w:hideMark/>
          </w:tcPr>
          <w:p w:rsidR="00391965" w:rsidRPr="00391965" w:rsidRDefault="00391965" w:rsidP="00391965">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Cotopaxi</w:t>
            </w:r>
          </w:p>
        </w:tc>
        <w:tc>
          <w:tcPr>
            <w:tcW w:w="1608" w:type="dxa"/>
            <w:noWrap/>
            <w:hideMark/>
          </w:tcPr>
          <w:p w:rsidR="00391965" w:rsidRPr="00391965" w:rsidRDefault="00391965" w:rsidP="00391965">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color w:val="000000" w:themeColor="text1"/>
                <w:lang w:eastAsia="es-EC"/>
              </w:rPr>
            </w:pPr>
            <w:r w:rsidRPr="00391965">
              <w:rPr>
                <w:rFonts w:asciiTheme="minorHAnsi" w:eastAsia="Times New Roman" w:hAnsiTheme="minorHAnsi" w:cs="Arial"/>
                <w:color w:val="000000" w:themeColor="text1"/>
                <w:lang w:eastAsia="es-EC"/>
              </w:rPr>
              <w:t>1</w:t>
            </w:r>
          </w:p>
        </w:tc>
      </w:tr>
    </w:tbl>
    <w:p w:rsidR="00391965" w:rsidRDefault="00391965" w:rsidP="00391965">
      <w:pPr>
        <w:ind w:left="708"/>
        <w:jc w:val="both"/>
      </w:pPr>
    </w:p>
    <w:p w:rsidR="00A94028" w:rsidRDefault="00391965" w:rsidP="00A94028">
      <w:pPr>
        <w:ind w:right="-1"/>
        <w:jc w:val="both"/>
        <w:rPr>
          <w:b/>
          <w:sz w:val="80"/>
          <w:szCs w:val="80"/>
        </w:rPr>
      </w:pPr>
      <w:r>
        <w:t xml:space="preserve">Considerando todo lo expuesto anteriormente, el INEC </w:t>
      </w:r>
      <w:r w:rsidR="000039F0">
        <w:t>realizará el ejercicio de</w:t>
      </w:r>
      <w:r>
        <w:t xml:space="preserve"> empalme </w:t>
      </w:r>
      <w:r w:rsidR="000039F0">
        <w:t>en forma continua</w:t>
      </w:r>
      <w:r>
        <w:t xml:space="preserve"> de las series de superficie sembrada y cosechada de los productos expuestos anteriormente, </w:t>
      </w:r>
      <w:r w:rsidR="000039F0">
        <w:t xml:space="preserve">con la nueva información disponible de la ESPAC en forma anual, realizando un análisis de </w:t>
      </w:r>
      <w:r>
        <w:t xml:space="preserve">las diferencias </w:t>
      </w:r>
      <w:r w:rsidR="000039F0">
        <w:t>presentadas</w:t>
      </w:r>
      <w:r>
        <w:t xml:space="preserve"> hasta que </w:t>
      </w:r>
      <w:r w:rsidR="000039F0">
        <w:t>estas se consideren como</w:t>
      </w:r>
      <w:r>
        <w:t xml:space="preserve"> estadísticamente nulas. </w:t>
      </w:r>
    </w:p>
    <w:p w:rsidR="002410C6" w:rsidRPr="00662262" w:rsidRDefault="00543429" w:rsidP="002410C6">
      <w:pPr>
        <w:ind w:left="720"/>
      </w:pPr>
      <w:r>
        <w:rPr>
          <w:noProof/>
          <w:lang w:eastAsia="es-EC"/>
        </w:rPr>
        <w:lastRenderedPageBreak/>
        <mc:AlternateContent>
          <mc:Choice Requires="wps">
            <w:drawing>
              <wp:anchor distT="0" distB="0" distL="114300" distR="114300" simplePos="0" relativeHeight="251657728" behindDoc="0" locked="0" layoutInCell="1" allowOverlap="1">
                <wp:simplePos x="0" y="0"/>
                <wp:positionH relativeFrom="column">
                  <wp:posOffset>-1122680</wp:posOffset>
                </wp:positionH>
                <wp:positionV relativeFrom="paragraph">
                  <wp:posOffset>-1742440</wp:posOffset>
                </wp:positionV>
                <wp:extent cx="7974330" cy="10375900"/>
                <wp:effectExtent l="0" t="0" r="26670" b="25400"/>
                <wp:wrapNone/>
                <wp:docPr id="1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74330" cy="10375900"/>
                        </a:xfrm>
                        <a:prstGeom prst="rect">
                          <a:avLst/>
                        </a:prstGeom>
                        <a:solidFill>
                          <a:srgbClr val="FFFFFF"/>
                        </a:solidFill>
                        <a:ln w="9525">
                          <a:solidFill>
                            <a:srgbClr val="000000"/>
                          </a:solidFill>
                          <a:miter lim="800000"/>
                          <a:headEnd/>
                          <a:tailEnd/>
                        </a:ln>
                      </wps:spPr>
                      <wps:txbx>
                        <w:txbxContent>
                          <w:p w:rsidR="005B5E13" w:rsidRDefault="005B5E13">
                            <w:pPr>
                              <w:rPr>
                                <w:lang w:val="es-ES"/>
                              </w:rPr>
                            </w:pPr>
                            <w:r>
                              <w:rPr>
                                <w:noProof/>
                                <w:lang w:eastAsia="es-EC"/>
                              </w:rPr>
                              <w:drawing>
                                <wp:inline distT="0" distB="0" distL="0" distR="0">
                                  <wp:extent cx="7877309" cy="10151745"/>
                                  <wp:effectExtent l="0" t="0" r="0" b="8255"/>
                                  <wp:docPr id="10" name="9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a1.jpg"/>
                                          <pic:cNvPicPr/>
                                        </pic:nvPicPr>
                                        <pic:blipFill>
                                          <a:blip r:embed="rId16">
                                            <a:extLst>
                                              <a:ext uri="{28A0092B-C50C-407E-A947-70E740481C1C}">
                                                <a14:useLocalDpi xmlns:a14="http://schemas.microsoft.com/office/drawing/2010/main" val="0"/>
                                              </a:ext>
                                            </a:extLst>
                                          </a:blip>
                                          <a:stretch>
                                            <a:fillRect/>
                                          </a:stretch>
                                        </pic:blipFill>
                                        <pic:spPr>
                                          <a:xfrm>
                                            <a:off x="0" y="0"/>
                                            <a:ext cx="7877865" cy="10152462"/>
                                          </a:xfrm>
                                          <a:prstGeom prst="rect">
                                            <a:avLst/>
                                          </a:prstGeom>
                                          <a:blipFill rotWithShape="1">
                                            <a:blip r:embed="rId17"/>
                                            <a:stretch>
                                              <a:fillRect/>
                                            </a:stretch>
                                          </a:blipFill>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 o:spid="_x0000_s1028" type="#_x0000_t202" style="position:absolute;left:0;text-align:left;margin-left:-88.4pt;margin-top:-137.2pt;width:627.9pt;height:81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">
                <v:textbox>
                  <w:txbxContent>
                    <w:p w:rsidR="005B5E13" w:rsidRDefault="005B5E13">
                      <w:pPr>
                        <w:rPr>
                          <w:lang w:val="es-ES"/>
                        </w:rPr>
                      </w:pPr>
                      <w:r>
                        <w:rPr>
                          <w:noProof/>
                          <w:lang w:eastAsia="es-EC"/>
                        </w:rPr>
                        <w:drawing>
                          <wp:inline distT="0" distB="0" distL="0" distR="0">
                            <wp:extent cx="7877309" cy="10151745"/>
                            <wp:effectExtent l="0" t="0" r="0" b="8255"/>
                            <wp:docPr id="10" name="9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a1.jpg"/>
                                    <pic:cNvPicPr/>
                                  </pic:nvPicPr>
                                  <pic:blipFill>
                                    <a:blip r:embed="rId16">
                                      <a:extLst>
                                        <a:ext uri="{28A0092B-C50C-407E-A947-70E740481C1C}">
                                          <a14:useLocalDpi xmlns:a14="http://schemas.microsoft.com/office/drawing/2010/main" val="0"/>
                                        </a:ext>
                                      </a:extLst>
                                    </a:blip>
                                    <a:stretch>
                                      <a:fillRect/>
                                    </a:stretch>
                                  </pic:blipFill>
                                  <pic:spPr>
                                    <a:xfrm>
                                      <a:off x="0" y="0"/>
                                      <a:ext cx="7877865" cy="10152462"/>
                                    </a:xfrm>
                                    <a:prstGeom prst="rect">
                                      <a:avLst/>
                                    </a:prstGeom>
                                    <a:blipFill rotWithShape="1">
                                      <a:blip r:embed="rId17"/>
                                      <a:stretch>
                                        <a:fillRect/>
                                      </a:stretch>
                                    </a:blipFill>
                                  </pic:spPr>
                                </pic:pic>
                              </a:graphicData>
                            </a:graphic>
                          </wp:inline>
                        </w:drawing>
                      </w:r>
                    </w:p>
                  </w:txbxContent>
                </v:textbox>
              </v:shape>
            </w:pict>
          </mc:Fallback>
        </mc:AlternateContent>
      </w:r>
      <w:r w:rsidR="00A23698">
        <w:rPr>
          <w:noProof/>
          <w:lang w:eastAsia="es-EC"/>
        </w:rPr>
        <w:drawing>
          <wp:inline distT="0" distB="0" distL="0" distR="0">
            <wp:extent cx="7835900" cy="10069195"/>
            <wp:effectExtent l="19050" t="0" r="0" b="0"/>
            <wp:docPr id="6" name="Imagen 6" descr="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2"/>
                    <pic:cNvPicPr>
                      <a:picLocks noChangeAspect="1" noChangeArrowheads="1"/>
                    </pic:cNvPicPr>
                  </pic:nvPicPr>
                  <pic:blipFill>
                    <a:blip r:embed="rId18" cstate="print"/>
                    <a:srcRect/>
                    <a:stretch>
                      <a:fillRect/>
                    </a:stretch>
                  </pic:blipFill>
                  <pic:spPr bwMode="auto">
                    <a:xfrm>
                      <a:off x="0" y="0"/>
                      <a:ext cx="7835900" cy="10069195"/>
                    </a:xfrm>
                    <a:prstGeom prst="rect">
                      <a:avLst/>
                    </a:prstGeom>
                    <a:noFill/>
                    <a:ln w="9525">
                      <a:noFill/>
                      <a:miter lim="800000"/>
                      <a:headEnd/>
                      <a:tailEnd/>
                    </a:ln>
                  </pic:spPr>
                </pic:pic>
              </a:graphicData>
            </a:graphic>
          </wp:inline>
        </w:drawing>
      </w:r>
    </w:p>
    <w:sectPr w:rsidR="002410C6" w:rsidRPr="00662262" w:rsidSect="00827404">
      <w:headerReference w:type="default" r:id="rId19"/>
      <w:footerReference w:type="default" r:id="rId20"/>
      <w:pgSz w:w="12240" w:h="15840"/>
      <w:pgMar w:top="2665" w:right="1701" w:bottom="1928" w:left="1701" w:header="0"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31682" w:rsidRDefault="00731682" w:rsidP="00AE2F3C">
      <w:pPr>
        <w:spacing w:after="0" w:line="240" w:lineRule="auto"/>
      </w:pPr>
      <w:r>
        <w:separator/>
      </w:r>
    </w:p>
  </w:endnote>
  <w:endnote w:type="continuationSeparator" w:id="0">
    <w:p w:rsidR="00731682" w:rsidRDefault="00731682" w:rsidP="00AE2F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5E13" w:rsidRPr="009544CB" w:rsidRDefault="00A575A1">
    <w:pPr>
      <w:pStyle w:val="Piedepgina"/>
      <w:jc w:val="center"/>
      <w:rPr>
        <w:b/>
        <w:color w:val="4F81BD"/>
      </w:rPr>
    </w:pPr>
    <w:r w:rsidRPr="009544CB">
      <w:rPr>
        <w:b/>
        <w:color w:val="4F81BD"/>
      </w:rPr>
      <w:fldChar w:fldCharType="begin"/>
    </w:r>
    <w:r w:rsidR="005B5E13" w:rsidRPr="009544CB">
      <w:rPr>
        <w:b/>
        <w:color w:val="4F81BD"/>
      </w:rPr>
      <w:instrText xml:space="preserve"> PAGE   \* MERGEFORMAT </w:instrText>
    </w:r>
    <w:r w:rsidRPr="009544CB">
      <w:rPr>
        <w:b/>
        <w:color w:val="4F81BD"/>
      </w:rPr>
      <w:fldChar w:fldCharType="separate"/>
    </w:r>
    <w:r w:rsidR="00543429">
      <w:rPr>
        <w:b/>
        <w:noProof/>
        <w:color w:val="4F81BD"/>
      </w:rPr>
      <w:t>1</w:t>
    </w:r>
    <w:r w:rsidRPr="009544CB">
      <w:rPr>
        <w:b/>
        <w:color w:val="4F81BD"/>
      </w:rPr>
      <w:fldChar w:fldCharType="end"/>
    </w:r>
  </w:p>
  <w:p w:rsidR="005B5E13" w:rsidRDefault="005B5E13">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31682" w:rsidRDefault="00731682" w:rsidP="00AE2F3C">
      <w:pPr>
        <w:spacing w:after="0" w:line="240" w:lineRule="auto"/>
      </w:pPr>
      <w:r>
        <w:separator/>
      </w:r>
    </w:p>
  </w:footnote>
  <w:footnote w:type="continuationSeparator" w:id="0">
    <w:p w:rsidR="00731682" w:rsidRDefault="00731682" w:rsidP="00AE2F3C">
      <w:pPr>
        <w:spacing w:after="0" w:line="240" w:lineRule="auto"/>
      </w:pPr>
      <w:r>
        <w:continuationSeparator/>
      </w:r>
    </w:p>
  </w:footnote>
  <w:footnote w:id="1">
    <w:p w:rsidR="003A6946" w:rsidRDefault="003A6946">
      <w:pPr>
        <w:pStyle w:val="Textonotapie"/>
      </w:pPr>
      <w:r>
        <w:rPr>
          <w:rStyle w:val="Refdenotaalpie"/>
        </w:rPr>
        <w:footnoteRef/>
      </w:r>
      <w:r>
        <w:t xml:space="preserve"> Desagregación de los dominios de estudio de la Amazonía en sus respectivas provincias. Creaci</w:t>
      </w:r>
      <w:r w:rsidR="00EC3F97">
        <w:t>ón de la</w:t>
      </w:r>
      <w:r w:rsidR="00CB3EAF">
        <w:t xml:space="preserve">s </w:t>
      </w:r>
      <w:r>
        <w:t>provincias de Santa Elena y Santo Domingo de los Tsáchilas en el año 2007</w:t>
      </w:r>
      <w:r w:rsidR="00EC3F97">
        <w:t>.</w:t>
      </w:r>
    </w:p>
  </w:footnote>
  <w:footnote w:id="2">
    <w:p w:rsidR="00EC3F97" w:rsidRDefault="00EC3F97">
      <w:pPr>
        <w:pStyle w:val="Textonotapie"/>
      </w:pPr>
      <w:r>
        <w:rPr>
          <w:rStyle w:val="Refdenotaalpie"/>
        </w:rPr>
        <w:footnoteRef/>
      </w:r>
      <w:r>
        <w:t xml:space="preserve"> A excepción de los cambios en los dominios de estudio de las provincias de Santa Elena y Santo Domingo de los Tsáchilas, para las cuales el año base 0 es 2009.</w:t>
      </w:r>
    </w:p>
  </w:footnote>
  <w:footnote w:id="3">
    <w:p w:rsidR="00991696" w:rsidRDefault="00991696">
      <w:pPr>
        <w:pStyle w:val="Textonotapie"/>
      </w:pPr>
      <w:r>
        <w:rPr>
          <w:rStyle w:val="Refdenotaalpie"/>
        </w:rPr>
        <w:footnoteRef/>
      </w:r>
      <w:r>
        <w:t xml:space="preserve"> Tomamos como mínimo 30 observaciones muestrales para proporciones que se encuentran entre 0,2 y 0,8 (Kish, 1965).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5E13" w:rsidRDefault="005B5E13" w:rsidP="009544CB">
    <w:pPr>
      <w:pStyle w:val="Encabezado"/>
      <w:ind w:left="-1701"/>
    </w:pPr>
    <w:r>
      <w:rPr>
        <w:noProof/>
        <w:lang w:eastAsia="es-EC"/>
      </w:rPr>
      <w:drawing>
        <wp:inline distT="0" distB="0" distL="0" distR="0">
          <wp:extent cx="7835710" cy="146367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b"/>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836015" cy="1463732"/>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CB8421C"/>
    <w:multiLevelType w:val="hybridMultilevel"/>
    <w:tmpl w:val="DC0E9BA6"/>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
    <w:nsid w:val="314A1926"/>
    <w:multiLevelType w:val="hybridMultilevel"/>
    <w:tmpl w:val="EB7CB54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nsid w:val="453F44C3"/>
    <w:multiLevelType w:val="hybridMultilevel"/>
    <w:tmpl w:val="63E0240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nsid w:val="590A2BDC"/>
    <w:multiLevelType w:val="hybridMultilevel"/>
    <w:tmpl w:val="813A23C8"/>
    <w:lvl w:ilvl="0" w:tplc="300A000F">
      <w:start w:val="1"/>
      <w:numFmt w:val="decimal"/>
      <w:lvlText w:val="%1."/>
      <w:lvlJc w:val="left"/>
      <w:pPr>
        <w:ind w:left="765" w:hanging="360"/>
      </w:pPr>
    </w:lvl>
    <w:lvl w:ilvl="1" w:tplc="300A0019" w:tentative="1">
      <w:start w:val="1"/>
      <w:numFmt w:val="lowerLetter"/>
      <w:lvlText w:val="%2."/>
      <w:lvlJc w:val="left"/>
      <w:pPr>
        <w:ind w:left="1485" w:hanging="360"/>
      </w:pPr>
    </w:lvl>
    <w:lvl w:ilvl="2" w:tplc="300A001B" w:tentative="1">
      <w:start w:val="1"/>
      <w:numFmt w:val="lowerRoman"/>
      <w:lvlText w:val="%3."/>
      <w:lvlJc w:val="right"/>
      <w:pPr>
        <w:ind w:left="2205" w:hanging="180"/>
      </w:pPr>
    </w:lvl>
    <w:lvl w:ilvl="3" w:tplc="300A000F" w:tentative="1">
      <w:start w:val="1"/>
      <w:numFmt w:val="decimal"/>
      <w:lvlText w:val="%4."/>
      <w:lvlJc w:val="left"/>
      <w:pPr>
        <w:ind w:left="2925" w:hanging="360"/>
      </w:pPr>
    </w:lvl>
    <w:lvl w:ilvl="4" w:tplc="300A0019" w:tentative="1">
      <w:start w:val="1"/>
      <w:numFmt w:val="lowerLetter"/>
      <w:lvlText w:val="%5."/>
      <w:lvlJc w:val="left"/>
      <w:pPr>
        <w:ind w:left="3645" w:hanging="360"/>
      </w:pPr>
    </w:lvl>
    <w:lvl w:ilvl="5" w:tplc="300A001B" w:tentative="1">
      <w:start w:val="1"/>
      <w:numFmt w:val="lowerRoman"/>
      <w:lvlText w:val="%6."/>
      <w:lvlJc w:val="right"/>
      <w:pPr>
        <w:ind w:left="4365" w:hanging="180"/>
      </w:pPr>
    </w:lvl>
    <w:lvl w:ilvl="6" w:tplc="300A000F" w:tentative="1">
      <w:start w:val="1"/>
      <w:numFmt w:val="decimal"/>
      <w:lvlText w:val="%7."/>
      <w:lvlJc w:val="left"/>
      <w:pPr>
        <w:ind w:left="5085" w:hanging="360"/>
      </w:pPr>
    </w:lvl>
    <w:lvl w:ilvl="7" w:tplc="300A0019" w:tentative="1">
      <w:start w:val="1"/>
      <w:numFmt w:val="lowerLetter"/>
      <w:lvlText w:val="%8."/>
      <w:lvlJc w:val="left"/>
      <w:pPr>
        <w:ind w:left="5805" w:hanging="360"/>
      </w:pPr>
    </w:lvl>
    <w:lvl w:ilvl="8" w:tplc="300A001B" w:tentative="1">
      <w:start w:val="1"/>
      <w:numFmt w:val="lowerRoman"/>
      <w:lvlText w:val="%9."/>
      <w:lvlJc w:val="right"/>
      <w:pPr>
        <w:ind w:left="6525" w:hanging="180"/>
      </w:pPr>
    </w:lvl>
  </w:abstractNum>
  <w:abstractNum w:abstractNumId="4">
    <w:nsid w:val="623C600E"/>
    <w:multiLevelType w:val="hybridMultilevel"/>
    <w:tmpl w:val="687254C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nsid w:val="688926C3"/>
    <w:multiLevelType w:val="hybridMultilevel"/>
    <w:tmpl w:val="712616FA"/>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6">
    <w:nsid w:val="6D605DF6"/>
    <w:multiLevelType w:val="hybridMultilevel"/>
    <w:tmpl w:val="FD5092C0"/>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75C25562"/>
    <w:multiLevelType w:val="hybridMultilevel"/>
    <w:tmpl w:val="B8FC236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nsid w:val="76A14791"/>
    <w:multiLevelType w:val="hybridMultilevel"/>
    <w:tmpl w:val="91A85F4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
    <w:nsid w:val="78DF5CE8"/>
    <w:multiLevelType w:val="hybridMultilevel"/>
    <w:tmpl w:val="18A6EB4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6"/>
  </w:num>
  <w:num w:numId="2">
    <w:abstractNumId w:val="3"/>
  </w:num>
  <w:num w:numId="3">
    <w:abstractNumId w:val="0"/>
  </w:num>
  <w:num w:numId="4">
    <w:abstractNumId w:val="4"/>
  </w:num>
  <w:num w:numId="5">
    <w:abstractNumId w:val="9"/>
  </w:num>
  <w:num w:numId="6">
    <w:abstractNumId w:val="5"/>
  </w:num>
  <w:num w:numId="7">
    <w:abstractNumId w:val="8"/>
  </w:num>
  <w:num w:numId="8">
    <w:abstractNumId w:val="7"/>
  </w:num>
  <w:num w:numId="9">
    <w:abstractNumId w:val="1"/>
  </w:num>
  <w:num w:numId="10">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NEC Javier Nunez">
    <w15:presenceInfo w15:providerId="AD" w15:userId="S-1-5-21-2104427130-577111786-1249176396-157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trackRevisions/>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7C3B"/>
    <w:rsid w:val="000039F0"/>
    <w:rsid w:val="000041FF"/>
    <w:rsid w:val="00010E4F"/>
    <w:rsid w:val="000159AB"/>
    <w:rsid w:val="00016194"/>
    <w:rsid w:val="00030397"/>
    <w:rsid w:val="00033857"/>
    <w:rsid w:val="00053AE5"/>
    <w:rsid w:val="000639FF"/>
    <w:rsid w:val="00071C85"/>
    <w:rsid w:val="000725FE"/>
    <w:rsid w:val="000771D9"/>
    <w:rsid w:val="00081510"/>
    <w:rsid w:val="00092031"/>
    <w:rsid w:val="00092111"/>
    <w:rsid w:val="000B0B61"/>
    <w:rsid w:val="000B2594"/>
    <w:rsid w:val="000B339D"/>
    <w:rsid w:val="000C547C"/>
    <w:rsid w:val="00105DE2"/>
    <w:rsid w:val="00114556"/>
    <w:rsid w:val="00120CB0"/>
    <w:rsid w:val="00120E36"/>
    <w:rsid w:val="001214B9"/>
    <w:rsid w:val="001248CC"/>
    <w:rsid w:val="00130AE8"/>
    <w:rsid w:val="00132BB1"/>
    <w:rsid w:val="00132F24"/>
    <w:rsid w:val="00136D33"/>
    <w:rsid w:val="00142A76"/>
    <w:rsid w:val="00156A4C"/>
    <w:rsid w:val="00161B02"/>
    <w:rsid w:val="00162732"/>
    <w:rsid w:val="00171C5B"/>
    <w:rsid w:val="001728D0"/>
    <w:rsid w:val="0019214B"/>
    <w:rsid w:val="001A08B4"/>
    <w:rsid w:val="001A313B"/>
    <w:rsid w:val="001A493A"/>
    <w:rsid w:val="001B0D6B"/>
    <w:rsid w:val="001B75EA"/>
    <w:rsid w:val="001C0D00"/>
    <w:rsid w:val="001E1100"/>
    <w:rsid w:val="002017A6"/>
    <w:rsid w:val="00212660"/>
    <w:rsid w:val="002203CB"/>
    <w:rsid w:val="00222CAF"/>
    <w:rsid w:val="00225C69"/>
    <w:rsid w:val="00226D8D"/>
    <w:rsid w:val="00230CCF"/>
    <w:rsid w:val="002410C6"/>
    <w:rsid w:val="0024407B"/>
    <w:rsid w:val="00244524"/>
    <w:rsid w:val="002467B0"/>
    <w:rsid w:val="00281512"/>
    <w:rsid w:val="002853BF"/>
    <w:rsid w:val="00287BB6"/>
    <w:rsid w:val="002914D3"/>
    <w:rsid w:val="00294DA3"/>
    <w:rsid w:val="002A30D6"/>
    <w:rsid w:val="002A532F"/>
    <w:rsid w:val="002B711D"/>
    <w:rsid w:val="002C3B8D"/>
    <w:rsid w:val="002C680B"/>
    <w:rsid w:val="002D3277"/>
    <w:rsid w:val="002F1C4A"/>
    <w:rsid w:val="002F3F70"/>
    <w:rsid w:val="003672BB"/>
    <w:rsid w:val="00391965"/>
    <w:rsid w:val="003A063B"/>
    <w:rsid w:val="003A4FCE"/>
    <w:rsid w:val="003A6946"/>
    <w:rsid w:val="003D21AD"/>
    <w:rsid w:val="003E759C"/>
    <w:rsid w:val="003F6BFF"/>
    <w:rsid w:val="003F6E74"/>
    <w:rsid w:val="00400FA8"/>
    <w:rsid w:val="004130E9"/>
    <w:rsid w:val="004143A5"/>
    <w:rsid w:val="00424B3A"/>
    <w:rsid w:val="00427E56"/>
    <w:rsid w:val="00437C3B"/>
    <w:rsid w:val="00440FEF"/>
    <w:rsid w:val="00456A22"/>
    <w:rsid w:val="0046153E"/>
    <w:rsid w:val="00466C47"/>
    <w:rsid w:val="00485846"/>
    <w:rsid w:val="00492D7D"/>
    <w:rsid w:val="004951E3"/>
    <w:rsid w:val="004967FB"/>
    <w:rsid w:val="004B0E28"/>
    <w:rsid w:val="004B1486"/>
    <w:rsid w:val="004B6A13"/>
    <w:rsid w:val="004B7E0E"/>
    <w:rsid w:val="004C27B2"/>
    <w:rsid w:val="004C6ED2"/>
    <w:rsid w:val="004E14AA"/>
    <w:rsid w:val="004F31FE"/>
    <w:rsid w:val="004F6996"/>
    <w:rsid w:val="004F6D11"/>
    <w:rsid w:val="0050164C"/>
    <w:rsid w:val="0052228A"/>
    <w:rsid w:val="0052624E"/>
    <w:rsid w:val="00526405"/>
    <w:rsid w:val="00534F24"/>
    <w:rsid w:val="00535FD9"/>
    <w:rsid w:val="00543429"/>
    <w:rsid w:val="005442FE"/>
    <w:rsid w:val="00550016"/>
    <w:rsid w:val="00560ABA"/>
    <w:rsid w:val="005619C9"/>
    <w:rsid w:val="00564B8C"/>
    <w:rsid w:val="0057413A"/>
    <w:rsid w:val="00580BD0"/>
    <w:rsid w:val="00582977"/>
    <w:rsid w:val="00582A36"/>
    <w:rsid w:val="005849B9"/>
    <w:rsid w:val="005943DD"/>
    <w:rsid w:val="005B4356"/>
    <w:rsid w:val="005B5148"/>
    <w:rsid w:val="005B5E13"/>
    <w:rsid w:val="005C42AF"/>
    <w:rsid w:val="005D62A6"/>
    <w:rsid w:val="005D7887"/>
    <w:rsid w:val="005E4532"/>
    <w:rsid w:val="00603A26"/>
    <w:rsid w:val="00603F25"/>
    <w:rsid w:val="00606487"/>
    <w:rsid w:val="00617901"/>
    <w:rsid w:val="00635A82"/>
    <w:rsid w:val="00645BB4"/>
    <w:rsid w:val="00647FA0"/>
    <w:rsid w:val="00662262"/>
    <w:rsid w:val="00663770"/>
    <w:rsid w:val="006712BA"/>
    <w:rsid w:val="00693785"/>
    <w:rsid w:val="006B2CA1"/>
    <w:rsid w:val="006B6D0A"/>
    <w:rsid w:val="006D5BE6"/>
    <w:rsid w:val="006E66A7"/>
    <w:rsid w:val="006E6D2F"/>
    <w:rsid w:val="006F4001"/>
    <w:rsid w:val="007159AD"/>
    <w:rsid w:val="00716DEB"/>
    <w:rsid w:val="007252B1"/>
    <w:rsid w:val="00731682"/>
    <w:rsid w:val="00733E9A"/>
    <w:rsid w:val="00734BAD"/>
    <w:rsid w:val="00746F80"/>
    <w:rsid w:val="00763E80"/>
    <w:rsid w:val="00780216"/>
    <w:rsid w:val="00787249"/>
    <w:rsid w:val="007970D0"/>
    <w:rsid w:val="007A5264"/>
    <w:rsid w:val="007B626D"/>
    <w:rsid w:val="007C1324"/>
    <w:rsid w:val="007D7180"/>
    <w:rsid w:val="007E3A82"/>
    <w:rsid w:val="0080423B"/>
    <w:rsid w:val="008144BB"/>
    <w:rsid w:val="00827404"/>
    <w:rsid w:val="0083456E"/>
    <w:rsid w:val="00836724"/>
    <w:rsid w:val="008521B1"/>
    <w:rsid w:val="00852AD6"/>
    <w:rsid w:val="00875F11"/>
    <w:rsid w:val="00876C66"/>
    <w:rsid w:val="00877377"/>
    <w:rsid w:val="0088109D"/>
    <w:rsid w:val="008846FF"/>
    <w:rsid w:val="00894F18"/>
    <w:rsid w:val="00896E8B"/>
    <w:rsid w:val="0089773B"/>
    <w:rsid w:val="008A030F"/>
    <w:rsid w:val="008B3B2D"/>
    <w:rsid w:val="008B44D1"/>
    <w:rsid w:val="008C6D81"/>
    <w:rsid w:val="008D1E6E"/>
    <w:rsid w:val="008D23D9"/>
    <w:rsid w:val="008D3540"/>
    <w:rsid w:val="008E7FA0"/>
    <w:rsid w:val="008F5FEF"/>
    <w:rsid w:val="00900891"/>
    <w:rsid w:val="00913927"/>
    <w:rsid w:val="00916643"/>
    <w:rsid w:val="009175E7"/>
    <w:rsid w:val="00922A49"/>
    <w:rsid w:val="009326AE"/>
    <w:rsid w:val="00934539"/>
    <w:rsid w:val="009359E6"/>
    <w:rsid w:val="00943F33"/>
    <w:rsid w:val="009544CB"/>
    <w:rsid w:val="0096116D"/>
    <w:rsid w:val="009614BE"/>
    <w:rsid w:val="00961B09"/>
    <w:rsid w:val="00963715"/>
    <w:rsid w:val="00966958"/>
    <w:rsid w:val="009726CD"/>
    <w:rsid w:val="009736E3"/>
    <w:rsid w:val="00973B50"/>
    <w:rsid w:val="00986A27"/>
    <w:rsid w:val="00991696"/>
    <w:rsid w:val="009A3CED"/>
    <w:rsid w:val="009A42E4"/>
    <w:rsid w:val="009B35C2"/>
    <w:rsid w:val="009D0FC0"/>
    <w:rsid w:val="009D50A2"/>
    <w:rsid w:val="009E166C"/>
    <w:rsid w:val="00A1194D"/>
    <w:rsid w:val="00A12348"/>
    <w:rsid w:val="00A16165"/>
    <w:rsid w:val="00A23698"/>
    <w:rsid w:val="00A26E6C"/>
    <w:rsid w:val="00A26F64"/>
    <w:rsid w:val="00A5011B"/>
    <w:rsid w:val="00A55A4E"/>
    <w:rsid w:val="00A575A1"/>
    <w:rsid w:val="00A62C13"/>
    <w:rsid w:val="00A65255"/>
    <w:rsid w:val="00A7064A"/>
    <w:rsid w:val="00A765C7"/>
    <w:rsid w:val="00A85EF9"/>
    <w:rsid w:val="00A9342C"/>
    <w:rsid w:val="00A94028"/>
    <w:rsid w:val="00A97CC8"/>
    <w:rsid w:val="00AC05E1"/>
    <w:rsid w:val="00AC7423"/>
    <w:rsid w:val="00AD2F4F"/>
    <w:rsid w:val="00AD6E5E"/>
    <w:rsid w:val="00AE2F3C"/>
    <w:rsid w:val="00AE73D1"/>
    <w:rsid w:val="00AF4333"/>
    <w:rsid w:val="00B07F16"/>
    <w:rsid w:val="00B210B8"/>
    <w:rsid w:val="00B4184C"/>
    <w:rsid w:val="00B42EFF"/>
    <w:rsid w:val="00B61BAA"/>
    <w:rsid w:val="00B652A8"/>
    <w:rsid w:val="00B655E2"/>
    <w:rsid w:val="00B710C7"/>
    <w:rsid w:val="00B91FFB"/>
    <w:rsid w:val="00B93066"/>
    <w:rsid w:val="00B93B79"/>
    <w:rsid w:val="00BC0F91"/>
    <w:rsid w:val="00BC6301"/>
    <w:rsid w:val="00BF1DE8"/>
    <w:rsid w:val="00BF54E9"/>
    <w:rsid w:val="00BF72B0"/>
    <w:rsid w:val="00C01434"/>
    <w:rsid w:val="00C4751B"/>
    <w:rsid w:val="00C63427"/>
    <w:rsid w:val="00C6396F"/>
    <w:rsid w:val="00C672E5"/>
    <w:rsid w:val="00C74ED7"/>
    <w:rsid w:val="00C7757C"/>
    <w:rsid w:val="00CA0CC9"/>
    <w:rsid w:val="00CA6582"/>
    <w:rsid w:val="00CA6F72"/>
    <w:rsid w:val="00CA765D"/>
    <w:rsid w:val="00CB3EAF"/>
    <w:rsid w:val="00CC056E"/>
    <w:rsid w:val="00CC2E37"/>
    <w:rsid w:val="00CC71F0"/>
    <w:rsid w:val="00CE1271"/>
    <w:rsid w:val="00CF3D79"/>
    <w:rsid w:val="00CF578F"/>
    <w:rsid w:val="00D1182A"/>
    <w:rsid w:val="00D30450"/>
    <w:rsid w:val="00D31083"/>
    <w:rsid w:val="00D34E15"/>
    <w:rsid w:val="00D45017"/>
    <w:rsid w:val="00D472C6"/>
    <w:rsid w:val="00D4756D"/>
    <w:rsid w:val="00D523F4"/>
    <w:rsid w:val="00D7115B"/>
    <w:rsid w:val="00D91CB7"/>
    <w:rsid w:val="00DA1FA7"/>
    <w:rsid w:val="00DB047A"/>
    <w:rsid w:val="00DB18E6"/>
    <w:rsid w:val="00DB2E1F"/>
    <w:rsid w:val="00DC4BB7"/>
    <w:rsid w:val="00DC7EC2"/>
    <w:rsid w:val="00DE5FA1"/>
    <w:rsid w:val="00DE7206"/>
    <w:rsid w:val="00DF16C0"/>
    <w:rsid w:val="00DF1B73"/>
    <w:rsid w:val="00E050FB"/>
    <w:rsid w:val="00E11C64"/>
    <w:rsid w:val="00E270E0"/>
    <w:rsid w:val="00E34F9C"/>
    <w:rsid w:val="00E53E01"/>
    <w:rsid w:val="00E54872"/>
    <w:rsid w:val="00E55290"/>
    <w:rsid w:val="00E628BD"/>
    <w:rsid w:val="00E62A9F"/>
    <w:rsid w:val="00E7072E"/>
    <w:rsid w:val="00E72241"/>
    <w:rsid w:val="00E74804"/>
    <w:rsid w:val="00E77AE5"/>
    <w:rsid w:val="00E82FBD"/>
    <w:rsid w:val="00E85CDA"/>
    <w:rsid w:val="00EA2559"/>
    <w:rsid w:val="00EA3C5B"/>
    <w:rsid w:val="00EB6440"/>
    <w:rsid w:val="00EC3F97"/>
    <w:rsid w:val="00EC5CC9"/>
    <w:rsid w:val="00ED7FA1"/>
    <w:rsid w:val="00EE63E6"/>
    <w:rsid w:val="00EE7389"/>
    <w:rsid w:val="00EF43AD"/>
    <w:rsid w:val="00F1000E"/>
    <w:rsid w:val="00F33EB4"/>
    <w:rsid w:val="00F47548"/>
    <w:rsid w:val="00F50CFE"/>
    <w:rsid w:val="00F561FF"/>
    <w:rsid w:val="00F6303B"/>
    <w:rsid w:val="00F76DCE"/>
    <w:rsid w:val="00F93697"/>
    <w:rsid w:val="00F96172"/>
    <w:rsid w:val="00FB1810"/>
    <w:rsid w:val="00FE2AD6"/>
    <w:rsid w:val="00FE5395"/>
    <w:rsid w:val="00FF0615"/>
    <w:rsid w:val="00FF40CB"/>
    <w:rsid w:val="00FF4534"/>
    <w:rsid w:val="00FF5008"/>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EC" w:eastAsia="es-EC"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37C3B"/>
    <w:pPr>
      <w:spacing w:after="200" w:line="276" w:lineRule="auto"/>
    </w:pPr>
    <w:rPr>
      <w:sz w:val="22"/>
      <w:szCs w:val="22"/>
      <w:lang w:eastAsia="en-US"/>
    </w:rPr>
  </w:style>
  <w:style w:type="paragraph" w:styleId="Ttulo2">
    <w:name w:val="heading 2"/>
    <w:basedOn w:val="Normal"/>
    <w:next w:val="Normal"/>
    <w:link w:val="Ttulo2Car"/>
    <w:uiPriority w:val="9"/>
    <w:unhideWhenUsed/>
    <w:qFormat/>
    <w:rsid w:val="00603F25"/>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pgrafe">
    <w:name w:val="caption"/>
    <w:basedOn w:val="Normal"/>
    <w:next w:val="Normal"/>
    <w:uiPriority w:val="35"/>
    <w:unhideWhenUsed/>
    <w:qFormat/>
    <w:rsid w:val="00437C3B"/>
    <w:pPr>
      <w:spacing w:line="240" w:lineRule="auto"/>
    </w:pPr>
    <w:rPr>
      <w:b/>
      <w:bCs/>
      <w:color w:val="4F81BD"/>
      <w:sz w:val="18"/>
      <w:szCs w:val="18"/>
    </w:rPr>
  </w:style>
  <w:style w:type="paragraph" w:styleId="Prrafodelista">
    <w:name w:val="List Paragraph"/>
    <w:basedOn w:val="Normal"/>
    <w:uiPriority w:val="34"/>
    <w:qFormat/>
    <w:rsid w:val="00437C3B"/>
    <w:pPr>
      <w:ind w:left="720"/>
      <w:contextualSpacing/>
    </w:pPr>
  </w:style>
  <w:style w:type="paragraph" w:styleId="Textodeglobo">
    <w:name w:val="Balloon Text"/>
    <w:basedOn w:val="Normal"/>
    <w:link w:val="TextodegloboCar"/>
    <w:uiPriority w:val="99"/>
    <w:semiHidden/>
    <w:unhideWhenUsed/>
    <w:rsid w:val="00437C3B"/>
    <w:pPr>
      <w:spacing w:after="0" w:line="240" w:lineRule="auto"/>
    </w:pPr>
    <w:rPr>
      <w:rFonts w:ascii="Tahoma" w:hAnsi="Tahoma"/>
      <w:sz w:val="16"/>
      <w:szCs w:val="16"/>
    </w:rPr>
  </w:style>
  <w:style w:type="character" w:customStyle="1" w:styleId="TextodegloboCar">
    <w:name w:val="Texto de globo Car"/>
    <w:link w:val="Textodeglobo"/>
    <w:uiPriority w:val="99"/>
    <w:semiHidden/>
    <w:rsid w:val="00437C3B"/>
    <w:rPr>
      <w:rFonts w:ascii="Tahoma" w:eastAsia="Calibri" w:hAnsi="Tahoma" w:cs="Tahoma"/>
      <w:sz w:val="16"/>
      <w:szCs w:val="16"/>
    </w:rPr>
  </w:style>
  <w:style w:type="paragraph" w:styleId="Encabezado">
    <w:name w:val="header"/>
    <w:basedOn w:val="Normal"/>
    <w:link w:val="EncabezadoCar"/>
    <w:uiPriority w:val="99"/>
    <w:unhideWhenUsed/>
    <w:rsid w:val="00AE2F3C"/>
    <w:pPr>
      <w:tabs>
        <w:tab w:val="center" w:pos="4419"/>
        <w:tab w:val="right" w:pos="8838"/>
      </w:tabs>
      <w:spacing w:after="0" w:line="240" w:lineRule="auto"/>
    </w:pPr>
    <w:rPr>
      <w:sz w:val="20"/>
      <w:szCs w:val="20"/>
    </w:rPr>
  </w:style>
  <w:style w:type="character" w:customStyle="1" w:styleId="EncabezadoCar">
    <w:name w:val="Encabezado Car"/>
    <w:link w:val="Encabezado"/>
    <w:uiPriority w:val="99"/>
    <w:rsid w:val="00AE2F3C"/>
    <w:rPr>
      <w:rFonts w:ascii="Calibri" w:eastAsia="Calibri" w:hAnsi="Calibri" w:cs="Times New Roman"/>
    </w:rPr>
  </w:style>
  <w:style w:type="paragraph" w:styleId="Piedepgina">
    <w:name w:val="footer"/>
    <w:basedOn w:val="Normal"/>
    <w:link w:val="PiedepginaCar"/>
    <w:uiPriority w:val="99"/>
    <w:unhideWhenUsed/>
    <w:rsid w:val="00AE2F3C"/>
    <w:pPr>
      <w:tabs>
        <w:tab w:val="center" w:pos="4419"/>
        <w:tab w:val="right" w:pos="8838"/>
      </w:tabs>
      <w:spacing w:after="0" w:line="240" w:lineRule="auto"/>
    </w:pPr>
    <w:rPr>
      <w:sz w:val="20"/>
      <w:szCs w:val="20"/>
    </w:rPr>
  </w:style>
  <w:style w:type="character" w:customStyle="1" w:styleId="PiedepginaCar">
    <w:name w:val="Pie de página Car"/>
    <w:link w:val="Piedepgina"/>
    <w:uiPriority w:val="99"/>
    <w:rsid w:val="00AE2F3C"/>
    <w:rPr>
      <w:rFonts w:ascii="Calibri" w:eastAsia="Calibri" w:hAnsi="Calibri" w:cs="Times New Roman"/>
    </w:rPr>
  </w:style>
  <w:style w:type="paragraph" w:styleId="Textonotapie">
    <w:name w:val="footnote text"/>
    <w:basedOn w:val="Normal"/>
    <w:link w:val="TextonotapieCar"/>
    <w:uiPriority w:val="99"/>
    <w:semiHidden/>
    <w:unhideWhenUsed/>
    <w:rsid w:val="00DC7EC2"/>
    <w:pPr>
      <w:spacing w:after="0" w:line="240" w:lineRule="auto"/>
    </w:pPr>
    <w:rPr>
      <w:sz w:val="20"/>
      <w:szCs w:val="20"/>
    </w:rPr>
  </w:style>
  <w:style w:type="character" w:customStyle="1" w:styleId="TextonotapieCar">
    <w:name w:val="Texto nota pie Car"/>
    <w:link w:val="Textonotapie"/>
    <w:uiPriority w:val="99"/>
    <w:semiHidden/>
    <w:rsid w:val="00DC7EC2"/>
    <w:rPr>
      <w:rFonts w:ascii="Calibri" w:eastAsia="Calibri" w:hAnsi="Calibri" w:cs="Times New Roman"/>
      <w:sz w:val="20"/>
      <w:szCs w:val="20"/>
    </w:rPr>
  </w:style>
  <w:style w:type="character" w:styleId="Refdenotaalpie">
    <w:name w:val="footnote reference"/>
    <w:uiPriority w:val="99"/>
    <w:semiHidden/>
    <w:unhideWhenUsed/>
    <w:rsid w:val="00DC7EC2"/>
    <w:rPr>
      <w:vertAlign w:val="superscript"/>
    </w:rPr>
  </w:style>
  <w:style w:type="table" w:styleId="Sombreadoclaro-nfasis2">
    <w:name w:val="Light Shading Accent 2"/>
    <w:basedOn w:val="Tablanormal"/>
    <w:uiPriority w:val="60"/>
    <w:rsid w:val="00896E8B"/>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Sombreadoclaro-nfasis11">
    <w:name w:val="Sombreado claro - Énfasis 11"/>
    <w:basedOn w:val="Tablanormal"/>
    <w:uiPriority w:val="60"/>
    <w:rsid w:val="00C672E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1">
    <w:name w:val="Light Shading Accent 1"/>
    <w:basedOn w:val="Tablanormal"/>
    <w:uiPriority w:val="60"/>
    <w:rsid w:val="00033857"/>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ablaconcuadrcula">
    <w:name w:val="Table Grid"/>
    <w:basedOn w:val="Tablanormal"/>
    <w:uiPriority w:val="59"/>
    <w:rsid w:val="00230CCF"/>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2853BF"/>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2853BF"/>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uiPriority w:val="9"/>
    <w:rsid w:val="00603F25"/>
    <w:rPr>
      <w:rFonts w:asciiTheme="majorHAnsi" w:eastAsiaTheme="majorEastAsia" w:hAnsiTheme="majorHAnsi" w:cstheme="majorBidi"/>
      <w:color w:val="365F91" w:themeColor="accent1" w:themeShade="BF"/>
      <w:sz w:val="26"/>
      <w:szCs w:val="26"/>
      <w:lang w:eastAsia="en-US"/>
    </w:rPr>
  </w:style>
  <w:style w:type="character" w:styleId="Refdecomentario">
    <w:name w:val="annotation reference"/>
    <w:basedOn w:val="Fuentedeprrafopredeter"/>
    <w:uiPriority w:val="99"/>
    <w:semiHidden/>
    <w:unhideWhenUsed/>
    <w:rsid w:val="004B0E28"/>
    <w:rPr>
      <w:sz w:val="16"/>
      <w:szCs w:val="16"/>
    </w:rPr>
  </w:style>
  <w:style w:type="paragraph" w:styleId="Textocomentario">
    <w:name w:val="annotation text"/>
    <w:basedOn w:val="Normal"/>
    <w:link w:val="TextocomentarioCar"/>
    <w:uiPriority w:val="99"/>
    <w:semiHidden/>
    <w:unhideWhenUsed/>
    <w:rsid w:val="004B0E28"/>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4B0E28"/>
    <w:rPr>
      <w:lang w:eastAsia="en-US"/>
    </w:rPr>
  </w:style>
  <w:style w:type="paragraph" w:styleId="Asuntodelcomentario">
    <w:name w:val="annotation subject"/>
    <w:basedOn w:val="Textocomentario"/>
    <w:next w:val="Textocomentario"/>
    <w:link w:val="AsuntodelcomentarioCar"/>
    <w:uiPriority w:val="99"/>
    <w:semiHidden/>
    <w:unhideWhenUsed/>
    <w:rsid w:val="004B0E28"/>
    <w:rPr>
      <w:b/>
      <w:bCs/>
    </w:rPr>
  </w:style>
  <w:style w:type="character" w:customStyle="1" w:styleId="AsuntodelcomentarioCar">
    <w:name w:val="Asunto del comentario Car"/>
    <w:basedOn w:val="TextocomentarioCar"/>
    <w:link w:val="Asuntodelcomentario"/>
    <w:uiPriority w:val="99"/>
    <w:semiHidden/>
    <w:rsid w:val="004B0E28"/>
    <w:rPr>
      <w:b/>
      <w:bCs/>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s-EC" w:eastAsia="es-EC"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37C3B"/>
    <w:pPr>
      <w:spacing w:after="200" w:line="276" w:lineRule="auto"/>
    </w:pPr>
    <w:rPr>
      <w:sz w:val="22"/>
      <w:szCs w:val="22"/>
      <w:lang w:eastAsia="en-US"/>
    </w:rPr>
  </w:style>
  <w:style w:type="paragraph" w:styleId="Ttulo2">
    <w:name w:val="heading 2"/>
    <w:basedOn w:val="Normal"/>
    <w:next w:val="Normal"/>
    <w:link w:val="Ttulo2Car"/>
    <w:uiPriority w:val="9"/>
    <w:unhideWhenUsed/>
    <w:qFormat/>
    <w:rsid w:val="00603F25"/>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pgrafe">
    <w:name w:val="caption"/>
    <w:basedOn w:val="Normal"/>
    <w:next w:val="Normal"/>
    <w:uiPriority w:val="35"/>
    <w:unhideWhenUsed/>
    <w:qFormat/>
    <w:rsid w:val="00437C3B"/>
    <w:pPr>
      <w:spacing w:line="240" w:lineRule="auto"/>
    </w:pPr>
    <w:rPr>
      <w:b/>
      <w:bCs/>
      <w:color w:val="4F81BD"/>
      <w:sz w:val="18"/>
      <w:szCs w:val="18"/>
    </w:rPr>
  </w:style>
  <w:style w:type="paragraph" w:styleId="Prrafodelista">
    <w:name w:val="List Paragraph"/>
    <w:basedOn w:val="Normal"/>
    <w:uiPriority w:val="34"/>
    <w:qFormat/>
    <w:rsid w:val="00437C3B"/>
    <w:pPr>
      <w:ind w:left="720"/>
      <w:contextualSpacing/>
    </w:pPr>
  </w:style>
  <w:style w:type="paragraph" w:styleId="Textodeglobo">
    <w:name w:val="Balloon Text"/>
    <w:basedOn w:val="Normal"/>
    <w:link w:val="TextodegloboCar"/>
    <w:uiPriority w:val="99"/>
    <w:semiHidden/>
    <w:unhideWhenUsed/>
    <w:rsid w:val="00437C3B"/>
    <w:pPr>
      <w:spacing w:after="0" w:line="240" w:lineRule="auto"/>
    </w:pPr>
    <w:rPr>
      <w:rFonts w:ascii="Tahoma" w:hAnsi="Tahoma"/>
      <w:sz w:val="16"/>
      <w:szCs w:val="16"/>
    </w:rPr>
  </w:style>
  <w:style w:type="character" w:customStyle="1" w:styleId="TextodegloboCar">
    <w:name w:val="Texto de globo Car"/>
    <w:link w:val="Textodeglobo"/>
    <w:uiPriority w:val="99"/>
    <w:semiHidden/>
    <w:rsid w:val="00437C3B"/>
    <w:rPr>
      <w:rFonts w:ascii="Tahoma" w:eastAsia="Calibri" w:hAnsi="Tahoma" w:cs="Tahoma"/>
      <w:sz w:val="16"/>
      <w:szCs w:val="16"/>
    </w:rPr>
  </w:style>
  <w:style w:type="paragraph" w:styleId="Encabezado">
    <w:name w:val="header"/>
    <w:basedOn w:val="Normal"/>
    <w:link w:val="EncabezadoCar"/>
    <w:uiPriority w:val="99"/>
    <w:unhideWhenUsed/>
    <w:rsid w:val="00AE2F3C"/>
    <w:pPr>
      <w:tabs>
        <w:tab w:val="center" w:pos="4419"/>
        <w:tab w:val="right" w:pos="8838"/>
      </w:tabs>
      <w:spacing w:after="0" w:line="240" w:lineRule="auto"/>
    </w:pPr>
    <w:rPr>
      <w:sz w:val="20"/>
      <w:szCs w:val="20"/>
    </w:rPr>
  </w:style>
  <w:style w:type="character" w:customStyle="1" w:styleId="EncabezadoCar">
    <w:name w:val="Encabezado Car"/>
    <w:link w:val="Encabezado"/>
    <w:uiPriority w:val="99"/>
    <w:rsid w:val="00AE2F3C"/>
    <w:rPr>
      <w:rFonts w:ascii="Calibri" w:eastAsia="Calibri" w:hAnsi="Calibri" w:cs="Times New Roman"/>
    </w:rPr>
  </w:style>
  <w:style w:type="paragraph" w:styleId="Piedepgina">
    <w:name w:val="footer"/>
    <w:basedOn w:val="Normal"/>
    <w:link w:val="PiedepginaCar"/>
    <w:uiPriority w:val="99"/>
    <w:unhideWhenUsed/>
    <w:rsid w:val="00AE2F3C"/>
    <w:pPr>
      <w:tabs>
        <w:tab w:val="center" w:pos="4419"/>
        <w:tab w:val="right" w:pos="8838"/>
      </w:tabs>
      <w:spacing w:after="0" w:line="240" w:lineRule="auto"/>
    </w:pPr>
    <w:rPr>
      <w:sz w:val="20"/>
      <w:szCs w:val="20"/>
    </w:rPr>
  </w:style>
  <w:style w:type="character" w:customStyle="1" w:styleId="PiedepginaCar">
    <w:name w:val="Pie de página Car"/>
    <w:link w:val="Piedepgina"/>
    <w:uiPriority w:val="99"/>
    <w:rsid w:val="00AE2F3C"/>
    <w:rPr>
      <w:rFonts w:ascii="Calibri" w:eastAsia="Calibri" w:hAnsi="Calibri" w:cs="Times New Roman"/>
    </w:rPr>
  </w:style>
  <w:style w:type="paragraph" w:styleId="Textonotapie">
    <w:name w:val="footnote text"/>
    <w:basedOn w:val="Normal"/>
    <w:link w:val="TextonotapieCar"/>
    <w:uiPriority w:val="99"/>
    <w:semiHidden/>
    <w:unhideWhenUsed/>
    <w:rsid w:val="00DC7EC2"/>
    <w:pPr>
      <w:spacing w:after="0" w:line="240" w:lineRule="auto"/>
    </w:pPr>
    <w:rPr>
      <w:sz w:val="20"/>
      <w:szCs w:val="20"/>
    </w:rPr>
  </w:style>
  <w:style w:type="character" w:customStyle="1" w:styleId="TextonotapieCar">
    <w:name w:val="Texto nota pie Car"/>
    <w:link w:val="Textonotapie"/>
    <w:uiPriority w:val="99"/>
    <w:semiHidden/>
    <w:rsid w:val="00DC7EC2"/>
    <w:rPr>
      <w:rFonts w:ascii="Calibri" w:eastAsia="Calibri" w:hAnsi="Calibri" w:cs="Times New Roman"/>
      <w:sz w:val="20"/>
      <w:szCs w:val="20"/>
    </w:rPr>
  </w:style>
  <w:style w:type="character" w:styleId="Refdenotaalpie">
    <w:name w:val="footnote reference"/>
    <w:uiPriority w:val="99"/>
    <w:semiHidden/>
    <w:unhideWhenUsed/>
    <w:rsid w:val="00DC7EC2"/>
    <w:rPr>
      <w:vertAlign w:val="superscript"/>
    </w:rPr>
  </w:style>
  <w:style w:type="table" w:styleId="Sombreadoclaro-nfasis2">
    <w:name w:val="Light Shading Accent 2"/>
    <w:basedOn w:val="Tablanormal"/>
    <w:uiPriority w:val="60"/>
    <w:rsid w:val="00896E8B"/>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Sombreadoclaro-nfasis11">
    <w:name w:val="Sombreado claro - Énfasis 11"/>
    <w:basedOn w:val="Tablanormal"/>
    <w:uiPriority w:val="60"/>
    <w:rsid w:val="00C672E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1">
    <w:name w:val="Light Shading Accent 1"/>
    <w:basedOn w:val="Tablanormal"/>
    <w:uiPriority w:val="60"/>
    <w:rsid w:val="00033857"/>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ablaconcuadrcula">
    <w:name w:val="Table Grid"/>
    <w:basedOn w:val="Tablanormal"/>
    <w:uiPriority w:val="59"/>
    <w:rsid w:val="00230CCF"/>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2853BF"/>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2853BF"/>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uiPriority w:val="9"/>
    <w:rsid w:val="00603F25"/>
    <w:rPr>
      <w:rFonts w:asciiTheme="majorHAnsi" w:eastAsiaTheme="majorEastAsia" w:hAnsiTheme="majorHAnsi" w:cstheme="majorBidi"/>
      <w:color w:val="365F91" w:themeColor="accent1" w:themeShade="BF"/>
      <w:sz w:val="26"/>
      <w:szCs w:val="26"/>
      <w:lang w:eastAsia="en-US"/>
    </w:rPr>
  </w:style>
  <w:style w:type="character" w:styleId="Refdecomentario">
    <w:name w:val="annotation reference"/>
    <w:basedOn w:val="Fuentedeprrafopredeter"/>
    <w:uiPriority w:val="99"/>
    <w:semiHidden/>
    <w:unhideWhenUsed/>
    <w:rsid w:val="004B0E28"/>
    <w:rPr>
      <w:sz w:val="16"/>
      <w:szCs w:val="16"/>
    </w:rPr>
  </w:style>
  <w:style w:type="paragraph" w:styleId="Textocomentario">
    <w:name w:val="annotation text"/>
    <w:basedOn w:val="Normal"/>
    <w:link w:val="TextocomentarioCar"/>
    <w:uiPriority w:val="99"/>
    <w:semiHidden/>
    <w:unhideWhenUsed/>
    <w:rsid w:val="004B0E28"/>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4B0E28"/>
    <w:rPr>
      <w:lang w:eastAsia="en-US"/>
    </w:rPr>
  </w:style>
  <w:style w:type="paragraph" w:styleId="Asuntodelcomentario">
    <w:name w:val="annotation subject"/>
    <w:basedOn w:val="Textocomentario"/>
    <w:next w:val="Textocomentario"/>
    <w:link w:val="AsuntodelcomentarioCar"/>
    <w:uiPriority w:val="99"/>
    <w:semiHidden/>
    <w:unhideWhenUsed/>
    <w:rsid w:val="004B0E28"/>
    <w:rPr>
      <w:b/>
      <w:bCs/>
    </w:rPr>
  </w:style>
  <w:style w:type="character" w:customStyle="1" w:styleId="AsuntodelcomentarioCar">
    <w:name w:val="Asunto del comentario Car"/>
    <w:basedOn w:val="TextocomentarioCar"/>
    <w:link w:val="Asuntodelcomentario"/>
    <w:uiPriority w:val="99"/>
    <w:semiHidden/>
    <w:rsid w:val="004B0E28"/>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742127">
      <w:bodyDiv w:val="1"/>
      <w:marLeft w:val="0"/>
      <w:marRight w:val="0"/>
      <w:marTop w:val="0"/>
      <w:marBottom w:val="0"/>
      <w:divBdr>
        <w:top w:val="none" w:sz="0" w:space="0" w:color="auto"/>
        <w:left w:val="none" w:sz="0" w:space="0" w:color="auto"/>
        <w:bottom w:val="none" w:sz="0" w:space="0" w:color="auto"/>
        <w:right w:val="none" w:sz="0" w:space="0" w:color="auto"/>
      </w:divBdr>
    </w:div>
    <w:div w:id="84889776">
      <w:bodyDiv w:val="1"/>
      <w:marLeft w:val="0"/>
      <w:marRight w:val="0"/>
      <w:marTop w:val="0"/>
      <w:marBottom w:val="0"/>
      <w:divBdr>
        <w:top w:val="none" w:sz="0" w:space="0" w:color="auto"/>
        <w:left w:val="none" w:sz="0" w:space="0" w:color="auto"/>
        <w:bottom w:val="none" w:sz="0" w:space="0" w:color="auto"/>
        <w:right w:val="none" w:sz="0" w:space="0" w:color="auto"/>
      </w:divBdr>
    </w:div>
    <w:div w:id="167254141">
      <w:bodyDiv w:val="1"/>
      <w:marLeft w:val="0"/>
      <w:marRight w:val="0"/>
      <w:marTop w:val="0"/>
      <w:marBottom w:val="0"/>
      <w:divBdr>
        <w:top w:val="none" w:sz="0" w:space="0" w:color="auto"/>
        <w:left w:val="none" w:sz="0" w:space="0" w:color="auto"/>
        <w:bottom w:val="none" w:sz="0" w:space="0" w:color="auto"/>
        <w:right w:val="none" w:sz="0" w:space="0" w:color="auto"/>
      </w:divBdr>
    </w:div>
    <w:div w:id="258418540">
      <w:bodyDiv w:val="1"/>
      <w:marLeft w:val="0"/>
      <w:marRight w:val="0"/>
      <w:marTop w:val="0"/>
      <w:marBottom w:val="0"/>
      <w:divBdr>
        <w:top w:val="none" w:sz="0" w:space="0" w:color="auto"/>
        <w:left w:val="none" w:sz="0" w:space="0" w:color="auto"/>
        <w:bottom w:val="none" w:sz="0" w:space="0" w:color="auto"/>
        <w:right w:val="none" w:sz="0" w:space="0" w:color="auto"/>
      </w:divBdr>
    </w:div>
    <w:div w:id="459882041">
      <w:bodyDiv w:val="1"/>
      <w:marLeft w:val="0"/>
      <w:marRight w:val="0"/>
      <w:marTop w:val="0"/>
      <w:marBottom w:val="0"/>
      <w:divBdr>
        <w:top w:val="none" w:sz="0" w:space="0" w:color="auto"/>
        <w:left w:val="none" w:sz="0" w:space="0" w:color="auto"/>
        <w:bottom w:val="none" w:sz="0" w:space="0" w:color="auto"/>
        <w:right w:val="none" w:sz="0" w:space="0" w:color="auto"/>
      </w:divBdr>
    </w:div>
    <w:div w:id="464591750">
      <w:bodyDiv w:val="1"/>
      <w:marLeft w:val="0"/>
      <w:marRight w:val="0"/>
      <w:marTop w:val="0"/>
      <w:marBottom w:val="0"/>
      <w:divBdr>
        <w:top w:val="none" w:sz="0" w:space="0" w:color="auto"/>
        <w:left w:val="none" w:sz="0" w:space="0" w:color="auto"/>
        <w:bottom w:val="none" w:sz="0" w:space="0" w:color="auto"/>
        <w:right w:val="none" w:sz="0" w:space="0" w:color="auto"/>
      </w:divBdr>
    </w:div>
    <w:div w:id="624388737">
      <w:bodyDiv w:val="1"/>
      <w:marLeft w:val="0"/>
      <w:marRight w:val="0"/>
      <w:marTop w:val="0"/>
      <w:marBottom w:val="0"/>
      <w:divBdr>
        <w:top w:val="none" w:sz="0" w:space="0" w:color="auto"/>
        <w:left w:val="none" w:sz="0" w:space="0" w:color="auto"/>
        <w:bottom w:val="none" w:sz="0" w:space="0" w:color="auto"/>
        <w:right w:val="none" w:sz="0" w:space="0" w:color="auto"/>
      </w:divBdr>
    </w:div>
    <w:div w:id="634723686">
      <w:bodyDiv w:val="1"/>
      <w:marLeft w:val="0"/>
      <w:marRight w:val="0"/>
      <w:marTop w:val="0"/>
      <w:marBottom w:val="0"/>
      <w:divBdr>
        <w:top w:val="none" w:sz="0" w:space="0" w:color="auto"/>
        <w:left w:val="none" w:sz="0" w:space="0" w:color="auto"/>
        <w:bottom w:val="none" w:sz="0" w:space="0" w:color="auto"/>
        <w:right w:val="none" w:sz="0" w:space="0" w:color="auto"/>
      </w:divBdr>
    </w:div>
    <w:div w:id="712123616">
      <w:bodyDiv w:val="1"/>
      <w:marLeft w:val="0"/>
      <w:marRight w:val="0"/>
      <w:marTop w:val="0"/>
      <w:marBottom w:val="0"/>
      <w:divBdr>
        <w:top w:val="none" w:sz="0" w:space="0" w:color="auto"/>
        <w:left w:val="none" w:sz="0" w:space="0" w:color="auto"/>
        <w:bottom w:val="none" w:sz="0" w:space="0" w:color="auto"/>
        <w:right w:val="none" w:sz="0" w:space="0" w:color="auto"/>
      </w:divBdr>
    </w:div>
    <w:div w:id="845175607">
      <w:bodyDiv w:val="1"/>
      <w:marLeft w:val="0"/>
      <w:marRight w:val="0"/>
      <w:marTop w:val="0"/>
      <w:marBottom w:val="0"/>
      <w:divBdr>
        <w:top w:val="none" w:sz="0" w:space="0" w:color="auto"/>
        <w:left w:val="none" w:sz="0" w:space="0" w:color="auto"/>
        <w:bottom w:val="none" w:sz="0" w:space="0" w:color="auto"/>
        <w:right w:val="none" w:sz="0" w:space="0" w:color="auto"/>
      </w:divBdr>
    </w:div>
    <w:div w:id="1001740244">
      <w:bodyDiv w:val="1"/>
      <w:marLeft w:val="0"/>
      <w:marRight w:val="0"/>
      <w:marTop w:val="0"/>
      <w:marBottom w:val="0"/>
      <w:divBdr>
        <w:top w:val="none" w:sz="0" w:space="0" w:color="auto"/>
        <w:left w:val="none" w:sz="0" w:space="0" w:color="auto"/>
        <w:bottom w:val="none" w:sz="0" w:space="0" w:color="auto"/>
        <w:right w:val="none" w:sz="0" w:space="0" w:color="auto"/>
      </w:divBdr>
    </w:div>
    <w:div w:id="1095129387">
      <w:bodyDiv w:val="1"/>
      <w:marLeft w:val="0"/>
      <w:marRight w:val="0"/>
      <w:marTop w:val="0"/>
      <w:marBottom w:val="0"/>
      <w:divBdr>
        <w:top w:val="none" w:sz="0" w:space="0" w:color="auto"/>
        <w:left w:val="none" w:sz="0" w:space="0" w:color="auto"/>
        <w:bottom w:val="none" w:sz="0" w:space="0" w:color="auto"/>
        <w:right w:val="none" w:sz="0" w:space="0" w:color="auto"/>
      </w:divBdr>
    </w:div>
    <w:div w:id="1100418952">
      <w:bodyDiv w:val="1"/>
      <w:marLeft w:val="0"/>
      <w:marRight w:val="0"/>
      <w:marTop w:val="0"/>
      <w:marBottom w:val="0"/>
      <w:divBdr>
        <w:top w:val="none" w:sz="0" w:space="0" w:color="auto"/>
        <w:left w:val="none" w:sz="0" w:space="0" w:color="auto"/>
        <w:bottom w:val="none" w:sz="0" w:space="0" w:color="auto"/>
        <w:right w:val="none" w:sz="0" w:space="0" w:color="auto"/>
      </w:divBdr>
    </w:div>
    <w:div w:id="1135414789">
      <w:bodyDiv w:val="1"/>
      <w:marLeft w:val="0"/>
      <w:marRight w:val="0"/>
      <w:marTop w:val="0"/>
      <w:marBottom w:val="0"/>
      <w:divBdr>
        <w:top w:val="none" w:sz="0" w:space="0" w:color="auto"/>
        <w:left w:val="none" w:sz="0" w:space="0" w:color="auto"/>
        <w:bottom w:val="none" w:sz="0" w:space="0" w:color="auto"/>
        <w:right w:val="none" w:sz="0" w:space="0" w:color="auto"/>
      </w:divBdr>
    </w:div>
    <w:div w:id="1222444254">
      <w:bodyDiv w:val="1"/>
      <w:marLeft w:val="0"/>
      <w:marRight w:val="0"/>
      <w:marTop w:val="0"/>
      <w:marBottom w:val="0"/>
      <w:divBdr>
        <w:top w:val="none" w:sz="0" w:space="0" w:color="auto"/>
        <w:left w:val="none" w:sz="0" w:space="0" w:color="auto"/>
        <w:bottom w:val="none" w:sz="0" w:space="0" w:color="auto"/>
        <w:right w:val="none" w:sz="0" w:space="0" w:color="auto"/>
      </w:divBdr>
    </w:div>
    <w:div w:id="1272854383">
      <w:bodyDiv w:val="1"/>
      <w:marLeft w:val="0"/>
      <w:marRight w:val="0"/>
      <w:marTop w:val="0"/>
      <w:marBottom w:val="0"/>
      <w:divBdr>
        <w:top w:val="none" w:sz="0" w:space="0" w:color="auto"/>
        <w:left w:val="none" w:sz="0" w:space="0" w:color="auto"/>
        <w:bottom w:val="none" w:sz="0" w:space="0" w:color="auto"/>
        <w:right w:val="none" w:sz="0" w:space="0" w:color="auto"/>
      </w:divBdr>
    </w:div>
    <w:div w:id="1294362839">
      <w:bodyDiv w:val="1"/>
      <w:marLeft w:val="0"/>
      <w:marRight w:val="0"/>
      <w:marTop w:val="0"/>
      <w:marBottom w:val="0"/>
      <w:divBdr>
        <w:top w:val="none" w:sz="0" w:space="0" w:color="auto"/>
        <w:left w:val="none" w:sz="0" w:space="0" w:color="auto"/>
        <w:bottom w:val="none" w:sz="0" w:space="0" w:color="auto"/>
        <w:right w:val="none" w:sz="0" w:space="0" w:color="auto"/>
      </w:divBdr>
      <w:divsChild>
        <w:div w:id="810054059">
          <w:marLeft w:val="547"/>
          <w:marRight w:val="0"/>
          <w:marTop w:val="115"/>
          <w:marBottom w:val="0"/>
          <w:divBdr>
            <w:top w:val="none" w:sz="0" w:space="0" w:color="auto"/>
            <w:left w:val="none" w:sz="0" w:space="0" w:color="auto"/>
            <w:bottom w:val="none" w:sz="0" w:space="0" w:color="auto"/>
            <w:right w:val="none" w:sz="0" w:space="0" w:color="auto"/>
          </w:divBdr>
        </w:div>
      </w:divsChild>
    </w:div>
    <w:div w:id="1396275654">
      <w:bodyDiv w:val="1"/>
      <w:marLeft w:val="0"/>
      <w:marRight w:val="0"/>
      <w:marTop w:val="0"/>
      <w:marBottom w:val="0"/>
      <w:divBdr>
        <w:top w:val="none" w:sz="0" w:space="0" w:color="auto"/>
        <w:left w:val="none" w:sz="0" w:space="0" w:color="auto"/>
        <w:bottom w:val="none" w:sz="0" w:space="0" w:color="auto"/>
        <w:right w:val="none" w:sz="0" w:space="0" w:color="auto"/>
      </w:divBdr>
    </w:div>
    <w:div w:id="1483883921">
      <w:bodyDiv w:val="1"/>
      <w:marLeft w:val="0"/>
      <w:marRight w:val="0"/>
      <w:marTop w:val="0"/>
      <w:marBottom w:val="0"/>
      <w:divBdr>
        <w:top w:val="none" w:sz="0" w:space="0" w:color="auto"/>
        <w:left w:val="none" w:sz="0" w:space="0" w:color="auto"/>
        <w:bottom w:val="none" w:sz="0" w:space="0" w:color="auto"/>
        <w:right w:val="none" w:sz="0" w:space="0" w:color="auto"/>
      </w:divBdr>
    </w:div>
    <w:div w:id="1589845729">
      <w:bodyDiv w:val="1"/>
      <w:marLeft w:val="0"/>
      <w:marRight w:val="0"/>
      <w:marTop w:val="0"/>
      <w:marBottom w:val="0"/>
      <w:divBdr>
        <w:top w:val="none" w:sz="0" w:space="0" w:color="auto"/>
        <w:left w:val="none" w:sz="0" w:space="0" w:color="auto"/>
        <w:bottom w:val="none" w:sz="0" w:space="0" w:color="auto"/>
        <w:right w:val="none" w:sz="0" w:space="0" w:color="auto"/>
      </w:divBdr>
    </w:div>
    <w:div w:id="1712487263">
      <w:bodyDiv w:val="1"/>
      <w:marLeft w:val="0"/>
      <w:marRight w:val="0"/>
      <w:marTop w:val="0"/>
      <w:marBottom w:val="0"/>
      <w:divBdr>
        <w:top w:val="none" w:sz="0" w:space="0" w:color="auto"/>
        <w:left w:val="none" w:sz="0" w:space="0" w:color="auto"/>
        <w:bottom w:val="none" w:sz="0" w:space="0" w:color="auto"/>
        <w:right w:val="none" w:sz="0" w:space="0" w:color="auto"/>
      </w:divBdr>
    </w:div>
    <w:div w:id="1835025510">
      <w:bodyDiv w:val="1"/>
      <w:marLeft w:val="0"/>
      <w:marRight w:val="0"/>
      <w:marTop w:val="0"/>
      <w:marBottom w:val="0"/>
      <w:divBdr>
        <w:top w:val="none" w:sz="0" w:space="0" w:color="auto"/>
        <w:left w:val="none" w:sz="0" w:space="0" w:color="auto"/>
        <w:bottom w:val="none" w:sz="0" w:space="0" w:color="auto"/>
        <w:right w:val="none" w:sz="0" w:space="0" w:color="auto"/>
      </w:divBdr>
    </w:div>
    <w:div w:id="2078436253">
      <w:bodyDiv w:val="1"/>
      <w:marLeft w:val="0"/>
      <w:marRight w:val="0"/>
      <w:marTop w:val="0"/>
      <w:marBottom w:val="0"/>
      <w:divBdr>
        <w:top w:val="none" w:sz="0" w:space="0" w:color="auto"/>
        <w:left w:val="none" w:sz="0" w:space="0" w:color="auto"/>
        <w:bottom w:val="none" w:sz="0" w:space="0" w:color="auto"/>
        <w:right w:val="none" w:sz="0" w:space="0" w:color="auto"/>
      </w:divBdr>
    </w:div>
    <w:div w:id="2094545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microsoft.com/office/2011/relationships/people" Target="people.xml"/><Relationship Id="rId10" Type="http://schemas.openxmlformats.org/officeDocument/2006/relationships/image" Target="media/image2.png"/><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7"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68A6262-DFD7-4374-98B6-852080CF4461}">
  <we:reference id="wa104099688" version="1.3.0.0" store="es-E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0183BA-55F0-413D-99E7-9683A5C8DD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2038</Words>
  <Characters>11210</Characters>
  <Application>Microsoft Office Word</Application>
  <DocSecurity>0</DocSecurity>
  <Lines>93</Lines>
  <Paragraphs>26</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13222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mquisintuña</dc:creator>
  <cp:lastModifiedBy>drorbe</cp:lastModifiedBy>
  <cp:revision>2</cp:revision>
  <cp:lastPrinted>2015-09-24T13:25:00Z</cp:lastPrinted>
  <dcterms:created xsi:type="dcterms:W3CDTF">2018-10-23T16:56:00Z</dcterms:created>
  <dcterms:modified xsi:type="dcterms:W3CDTF">2018-10-23T16:56:00Z</dcterms:modified>
</cp:coreProperties>
</file>