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E8B179" w14:textId="77777777" w:rsidR="009B4D74" w:rsidRDefault="009B4D74">
      <w:bookmarkStart w:id="0" w:name="_Toc382901666"/>
      <w:r>
        <w:rPr>
          <w:noProof/>
          <w:lang w:eastAsia="es-EC"/>
        </w:rPr>
        <w:drawing>
          <wp:anchor distT="0" distB="0" distL="114300" distR="114300" simplePos="0" relativeHeight="251659264" behindDoc="1" locked="0" layoutInCell="1" allowOverlap="1" wp14:anchorId="3520BC48" wp14:editId="43E3E129">
            <wp:simplePos x="0" y="0"/>
            <wp:positionH relativeFrom="margin">
              <wp:align>center</wp:align>
            </wp:positionH>
            <wp:positionV relativeFrom="paragraph">
              <wp:posOffset>-903642</wp:posOffset>
            </wp:positionV>
            <wp:extent cx="7565563" cy="1069310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5563" cy="10693101"/>
                    </a:xfrm>
                    <a:prstGeom prst="rect">
                      <a:avLst/>
                    </a:prstGeom>
                  </pic:spPr>
                </pic:pic>
              </a:graphicData>
            </a:graphic>
            <wp14:sizeRelH relativeFrom="page">
              <wp14:pctWidth>0</wp14:pctWidth>
            </wp14:sizeRelH>
            <wp14:sizeRelV relativeFrom="page">
              <wp14:pctHeight>0</wp14:pctHeight>
            </wp14:sizeRelV>
          </wp:anchor>
        </w:drawing>
      </w:r>
    </w:p>
    <w:p w14:paraId="27ED3517" w14:textId="77777777" w:rsidR="009B4D74" w:rsidRDefault="009B4D74"/>
    <w:p w14:paraId="521A8DCB" w14:textId="77777777" w:rsidR="009B4D74" w:rsidRDefault="009B4D74"/>
    <w:p w14:paraId="5FBE87CD" w14:textId="77777777" w:rsidR="00E4570C" w:rsidRDefault="00E4570C"/>
    <w:p w14:paraId="2B6CA242" w14:textId="77777777" w:rsidR="009B4D74" w:rsidRDefault="009B4D74"/>
    <w:p w14:paraId="01998F34" w14:textId="77777777" w:rsidR="009B4D74" w:rsidRDefault="009B4D74"/>
    <w:p w14:paraId="7B176D78" w14:textId="77777777" w:rsidR="009B4D74" w:rsidRDefault="009B4D74"/>
    <w:p w14:paraId="4CCF7B8C" w14:textId="77777777" w:rsidR="009B4D74" w:rsidRDefault="009B4D74"/>
    <w:p w14:paraId="4EC37EE7" w14:textId="77777777" w:rsidR="009B4D74" w:rsidRDefault="009B4D74"/>
    <w:p w14:paraId="3CE843FA" w14:textId="77777777" w:rsidR="009B4D74" w:rsidRDefault="00AA46E4">
      <w:r>
        <w:rPr>
          <w:noProof/>
          <w:lang w:eastAsia="es-EC"/>
        </w:rPr>
        <mc:AlternateContent>
          <mc:Choice Requires="wps">
            <w:drawing>
              <wp:anchor distT="0" distB="0" distL="114300" distR="114300" simplePos="0" relativeHeight="251662336" behindDoc="0" locked="0" layoutInCell="1" allowOverlap="1" wp14:anchorId="1841B4EB" wp14:editId="2BC658BD">
                <wp:simplePos x="0" y="0"/>
                <wp:positionH relativeFrom="column">
                  <wp:posOffset>-441960</wp:posOffset>
                </wp:positionH>
                <wp:positionV relativeFrom="paragraph">
                  <wp:posOffset>149860</wp:posOffset>
                </wp:positionV>
                <wp:extent cx="5962650" cy="2190750"/>
                <wp:effectExtent l="0" t="0" r="0" b="0"/>
                <wp:wrapNone/>
                <wp:docPr id="6" name="Cuadro de texto 6"/>
                <wp:cNvGraphicFramePr/>
                <a:graphic xmlns:a="http://schemas.openxmlformats.org/drawingml/2006/main">
                  <a:graphicData uri="http://schemas.microsoft.com/office/word/2010/wordprocessingShape">
                    <wps:wsp>
                      <wps:cNvSpPr txBox="1"/>
                      <wps:spPr>
                        <a:xfrm>
                          <a:off x="0" y="0"/>
                          <a:ext cx="5962650" cy="2190750"/>
                        </a:xfrm>
                        <a:prstGeom prst="rect">
                          <a:avLst/>
                        </a:prstGeom>
                        <a:noFill/>
                        <a:ln w="6350">
                          <a:noFill/>
                        </a:ln>
                      </wps:spPr>
                      <wps:txbx>
                        <w:txbxContent>
                          <w:p w14:paraId="2CDD97DA" w14:textId="77777777" w:rsidR="00BF7001" w:rsidRPr="009178D1" w:rsidRDefault="00BF7001" w:rsidP="006F69EA">
                            <w:pPr>
                              <w:rPr>
                                <w:rFonts w:ascii="Century Gothic" w:hAnsi="Century Gothic"/>
                                <w:b/>
                                <w:bCs/>
                                <w:color w:val="FFFFFF" w:themeColor="background1"/>
                                <w:sz w:val="80"/>
                                <w:szCs w:val="80"/>
                                <w:lang w:val="es-ES"/>
                              </w:rPr>
                            </w:pPr>
                            <w:r w:rsidRPr="009178D1">
                              <w:rPr>
                                <w:rFonts w:ascii="Century Gothic" w:hAnsi="Century Gothic"/>
                                <w:b/>
                                <w:bCs/>
                                <w:color w:val="FFFFFF" w:themeColor="background1"/>
                                <w:sz w:val="80"/>
                                <w:szCs w:val="80"/>
                                <w:lang w:val="es-ES"/>
                              </w:rPr>
                              <w:t>Directorio de Empresas y Establecimientos</w:t>
                            </w:r>
                          </w:p>
                          <w:p w14:paraId="4C1744E9" w14:textId="008A2C9D" w:rsidR="00BF7001" w:rsidRPr="009178D1" w:rsidRDefault="00BF7001" w:rsidP="006F69EA">
                            <w:pPr>
                              <w:rPr>
                                <w:rFonts w:ascii="Century Gothic" w:hAnsi="Century Gothic"/>
                                <w:b/>
                                <w:bCs/>
                                <w:color w:val="FFFFFF" w:themeColor="background1"/>
                                <w:sz w:val="80"/>
                                <w:szCs w:val="80"/>
                                <w:lang w:val="es-ES"/>
                              </w:rPr>
                            </w:pPr>
                            <w:r>
                              <w:rPr>
                                <w:rFonts w:ascii="Century Gothic" w:hAnsi="Century Gothic"/>
                                <w:b/>
                                <w:bCs/>
                                <w:color w:val="FFFFFF" w:themeColor="background1"/>
                                <w:sz w:val="80"/>
                                <w:szCs w:val="80"/>
                                <w:lang w:val="es-ES"/>
                              </w:rPr>
                              <w:t>2021</w:t>
                            </w:r>
                          </w:p>
                          <w:p w14:paraId="3530B245" w14:textId="79FE53B1" w:rsidR="00BF7001" w:rsidRPr="009B4D74" w:rsidRDefault="00BF7001">
                            <w:pPr>
                              <w:rPr>
                                <w:rFonts w:ascii="Century Gothic" w:hAnsi="Century Gothic"/>
                                <w:b/>
                                <w:bCs/>
                                <w:color w:val="FFFFFF" w:themeColor="background1"/>
                                <w:sz w:val="144"/>
                                <w:szCs w:val="144"/>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41B4EB" id="_x0000_t202" coordsize="21600,21600" o:spt="202" path="m,l,21600r21600,l21600,xe">
                <v:stroke joinstyle="miter"/>
                <v:path gradientshapeok="t" o:connecttype="rect"/>
              </v:shapetype>
              <v:shape id="Cuadro de texto 6" o:spid="_x0000_s1026" type="#_x0000_t202" style="position:absolute;margin-left:-34.8pt;margin-top:11.8pt;width:469.5pt;height:17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" filled="f" stroked="f" strokeweight=".5pt">
                <v:textbox>
                  <w:txbxContent>
                    <w:p w14:paraId="2CDD97DA" w14:textId="77777777" w:rsidR="00BF7001" w:rsidRPr="009178D1" w:rsidRDefault="00BF7001" w:rsidP="006F69EA">
                      <w:pPr>
                        <w:rPr>
                          <w:rFonts w:ascii="Century Gothic" w:hAnsi="Century Gothic"/>
                          <w:b/>
                          <w:bCs/>
                          <w:color w:val="FFFFFF" w:themeColor="background1"/>
                          <w:sz w:val="80"/>
                          <w:szCs w:val="80"/>
                          <w:lang w:val="es-ES"/>
                        </w:rPr>
                      </w:pPr>
                      <w:r w:rsidRPr="009178D1">
                        <w:rPr>
                          <w:rFonts w:ascii="Century Gothic" w:hAnsi="Century Gothic"/>
                          <w:b/>
                          <w:bCs/>
                          <w:color w:val="FFFFFF" w:themeColor="background1"/>
                          <w:sz w:val="80"/>
                          <w:szCs w:val="80"/>
                          <w:lang w:val="es-ES"/>
                        </w:rPr>
                        <w:t>Directorio de Empresas y Establecimientos</w:t>
                      </w:r>
                    </w:p>
                    <w:p w14:paraId="4C1744E9" w14:textId="008A2C9D" w:rsidR="00BF7001" w:rsidRPr="009178D1" w:rsidRDefault="00BF7001" w:rsidP="006F69EA">
                      <w:pPr>
                        <w:rPr>
                          <w:rFonts w:ascii="Century Gothic" w:hAnsi="Century Gothic"/>
                          <w:b/>
                          <w:bCs/>
                          <w:color w:val="FFFFFF" w:themeColor="background1"/>
                          <w:sz w:val="80"/>
                          <w:szCs w:val="80"/>
                          <w:lang w:val="es-ES"/>
                        </w:rPr>
                      </w:pPr>
                      <w:r>
                        <w:rPr>
                          <w:rFonts w:ascii="Century Gothic" w:hAnsi="Century Gothic"/>
                          <w:b/>
                          <w:bCs/>
                          <w:color w:val="FFFFFF" w:themeColor="background1"/>
                          <w:sz w:val="80"/>
                          <w:szCs w:val="80"/>
                          <w:lang w:val="es-ES"/>
                        </w:rPr>
                        <w:t>2021</w:t>
                      </w:r>
                    </w:p>
                    <w:p w14:paraId="3530B245" w14:textId="79FE53B1" w:rsidR="00BF7001" w:rsidRPr="009B4D74" w:rsidRDefault="00BF7001">
                      <w:pPr>
                        <w:rPr>
                          <w:rFonts w:ascii="Century Gothic" w:hAnsi="Century Gothic"/>
                          <w:b/>
                          <w:bCs/>
                          <w:color w:val="FFFFFF" w:themeColor="background1"/>
                          <w:sz w:val="144"/>
                          <w:szCs w:val="144"/>
                          <w:lang w:val="es-ES"/>
                        </w:rPr>
                      </w:pPr>
                    </w:p>
                  </w:txbxContent>
                </v:textbox>
              </v:shape>
            </w:pict>
          </mc:Fallback>
        </mc:AlternateContent>
      </w:r>
    </w:p>
    <w:p w14:paraId="3584A26A" w14:textId="77777777" w:rsidR="009B4D74" w:rsidRDefault="009B4D74"/>
    <w:p w14:paraId="3C57991F" w14:textId="77777777" w:rsidR="009B4D74" w:rsidRDefault="009B4D74"/>
    <w:p w14:paraId="079A0139" w14:textId="77777777" w:rsidR="009B4D74" w:rsidRDefault="009B4D74"/>
    <w:p w14:paraId="3A2D9BB5" w14:textId="77777777" w:rsidR="009B4D74" w:rsidRDefault="009B4D74"/>
    <w:p w14:paraId="02BB4AD8" w14:textId="77777777" w:rsidR="009B4D74" w:rsidRDefault="009B4D74"/>
    <w:p w14:paraId="6632FD02" w14:textId="77777777" w:rsidR="009B4D74" w:rsidRDefault="009B4D74"/>
    <w:p w14:paraId="4D212CF0" w14:textId="77777777" w:rsidR="009B4D74" w:rsidRDefault="009B4D74"/>
    <w:p w14:paraId="0CC5E3A9" w14:textId="77777777" w:rsidR="009B4D74" w:rsidRDefault="009B4D74"/>
    <w:p w14:paraId="1EBB7029" w14:textId="77777777" w:rsidR="009B4D74" w:rsidRDefault="009B4D74"/>
    <w:p w14:paraId="17CA9D5A" w14:textId="77777777" w:rsidR="009B4D74" w:rsidRDefault="009B4D74"/>
    <w:p w14:paraId="530351F9" w14:textId="77777777" w:rsidR="009B4D74" w:rsidRDefault="009B4D74"/>
    <w:p w14:paraId="416C93D9" w14:textId="7F2ABA5F" w:rsidR="009B4D74" w:rsidRDefault="009B4D74"/>
    <w:p w14:paraId="7D70D63A" w14:textId="253CC979" w:rsidR="009B4D74" w:rsidRDefault="006F69EA">
      <w:r>
        <w:rPr>
          <w:noProof/>
          <w:lang w:eastAsia="es-EC"/>
        </w:rPr>
        <mc:AlternateContent>
          <mc:Choice Requires="wps">
            <w:drawing>
              <wp:anchor distT="0" distB="0" distL="114300" distR="114300" simplePos="0" relativeHeight="251666432" behindDoc="0" locked="0" layoutInCell="1" allowOverlap="1" wp14:anchorId="73471B6E" wp14:editId="1D7AE116">
                <wp:simplePos x="0" y="0"/>
                <wp:positionH relativeFrom="column">
                  <wp:posOffset>-455930</wp:posOffset>
                </wp:positionH>
                <wp:positionV relativeFrom="paragraph">
                  <wp:posOffset>154305</wp:posOffset>
                </wp:positionV>
                <wp:extent cx="5755005" cy="548640"/>
                <wp:effectExtent l="0" t="0" r="0" b="3810"/>
                <wp:wrapNone/>
                <wp:docPr id="8" name="Cuadro de texto 8"/>
                <wp:cNvGraphicFramePr/>
                <a:graphic xmlns:a="http://schemas.openxmlformats.org/drawingml/2006/main">
                  <a:graphicData uri="http://schemas.microsoft.com/office/word/2010/wordprocessingShape">
                    <wps:wsp>
                      <wps:cNvSpPr txBox="1"/>
                      <wps:spPr>
                        <a:xfrm>
                          <a:off x="0" y="0"/>
                          <a:ext cx="5755005" cy="548640"/>
                        </a:xfrm>
                        <a:prstGeom prst="rect">
                          <a:avLst/>
                        </a:prstGeom>
                        <a:noFill/>
                        <a:ln w="6350">
                          <a:noFill/>
                        </a:ln>
                      </wps:spPr>
                      <wps:txbx>
                        <w:txbxContent>
                          <w:p w14:paraId="66569F7D" w14:textId="1AC4326E" w:rsidR="00BF7001" w:rsidRPr="009B4D74" w:rsidRDefault="00BF7001">
                            <w:pPr>
                              <w:rPr>
                                <w:rFonts w:ascii="Century Gothic" w:hAnsi="Century Gothic"/>
                                <w:color w:val="8690DF"/>
                                <w:sz w:val="60"/>
                                <w:szCs w:val="60"/>
                                <w:lang w:val="es-ES"/>
                              </w:rPr>
                            </w:pPr>
                            <w:r>
                              <w:rPr>
                                <w:rFonts w:ascii="Century Gothic" w:hAnsi="Century Gothic"/>
                                <w:color w:val="8690DF"/>
                                <w:sz w:val="60"/>
                                <w:szCs w:val="60"/>
                                <w:lang w:val="es-ES"/>
                              </w:rPr>
                              <w:t>Octubre,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71B6E" id="Cuadro de texto 8" o:spid="_x0000_s1027" type="#_x0000_t202" style="position:absolute;margin-left:-35.9pt;margin-top:12.15pt;width:453.15pt;height:43.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" filled="f" stroked="f" strokeweight=".5pt">
                <v:textbox>
                  <w:txbxContent>
                    <w:p w14:paraId="66569F7D" w14:textId="1AC4326E" w:rsidR="00BF7001" w:rsidRPr="009B4D74" w:rsidRDefault="00BF7001">
                      <w:pPr>
                        <w:rPr>
                          <w:rFonts w:ascii="Century Gothic" w:hAnsi="Century Gothic"/>
                          <w:color w:val="8690DF"/>
                          <w:sz w:val="60"/>
                          <w:szCs w:val="60"/>
                          <w:lang w:val="es-ES"/>
                        </w:rPr>
                      </w:pPr>
                      <w:r>
                        <w:rPr>
                          <w:rFonts w:ascii="Century Gothic" w:hAnsi="Century Gothic"/>
                          <w:color w:val="8690DF"/>
                          <w:sz w:val="60"/>
                          <w:szCs w:val="60"/>
                          <w:lang w:val="es-ES"/>
                        </w:rPr>
                        <w:t>Octubre, 2022</w:t>
                      </w:r>
                    </w:p>
                  </w:txbxContent>
                </v:textbox>
              </v:shape>
            </w:pict>
          </mc:Fallback>
        </mc:AlternateContent>
      </w:r>
    </w:p>
    <w:p w14:paraId="6CD76C93" w14:textId="77777777" w:rsidR="009B4D74" w:rsidRDefault="009B4D74"/>
    <w:p w14:paraId="1F6D26D6" w14:textId="77777777" w:rsidR="009B4D74" w:rsidRDefault="009B4D74"/>
    <w:p w14:paraId="397794B8" w14:textId="77777777" w:rsidR="009B4D74" w:rsidRDefault="009B4D74"/>
    <w:p w14:paraId="3B911A6E" w14:textId="77777777" w:rsidR="009B4D74" w:rsidRDefault="009B4D74"/>
    <w:p w14:paraId="48AFC1A8" w14:textId="77777777" w:rsidR="009B4D74" w:rsidRDefault="009B4D74"/>
    <w:p w14:paraId="19A51FC0" w14:textId="77777777" w:rsidR="009B4D74" w:rsidRDefault="009B4D74"/>
    <w:p w14:paraId="6EBFDACB" w14:textId="77777777" w:rsidR="009B4D74" w:rsidRDefault="009B4D74"/>
    <w:p w14:paraId="513999FA" w14:textId="77777777" w:rsidR="009B4D74" w:rsidRDefault="009B4D74"/>
    <w:p w14:paraId="29D4EBF4" w14:textId="77777777" w:rsidR="009B4D74" w:rsidRDefault="009B4D74"/>
    <w:p w14:paraId="686CCB33" w14:textId="77777777" w:rsidR="009B4D74" w:rsidRDefault="009B4D74"/>
    <w:p w14:paraId="30BC6262" w14:textId="77777777" w:rsidR="009B4D74" w:rsidRDefault="009B4D74"/>
    <w:p w14:paraId="461710EF" w14:textId="77777777" w:rsidR="009B4D74" w:rsidRDefault="009B4D74"/>
    <w:p w14:paraId="7DF177AA" w14:textId="77777777" w:rsidR="009B4D74" w:rsidRDefault="009B4D74"/>
    <w:p w14:paraId="3388A29B" w14:textId="77777777" w:rsidR="009B4D74" w:rsidRDefault="009B4D74"/>
    <w:p w14:paraId="1BD2D2E0" w14:textId="77777777" w:rsidR="009B4D74" w:rsidRDefault="009B4D74"/>
    <w:p w14:paraId="01F0A88E" w14:textId="77777777" w:rsidR="009B4D74" w:rsidRDefault="009B4D74"/>
    <w:p w14:paraId="087F0683" w14:textId="77777777" w:rsidR="009B4D74" w:rsidRDefault="009B4D74"/>
    <w:p w14:paraId="0C29888B" w14:textId="77777777" w:rsidR="009B4D74" w:rsidRDefault="009B4D74"/>
    <w:p w14:paraId="3067E267" w14:textId="77777777" w:rsidR="009B4D74" w:rsidRDefault="009B4D74"/>
    <w:p w14:paraId="1C65508E" w14:textId="77777777" w:rsidR="009B4D74" w:rsidRDefault="009B4D74"/>
    <w:p w14:paraId="75D020F0" w14:textId="77777777" w:rsidR="009B4D74" w:rsidRDefault="009B4D74"/>
    <w:p w14:paraId="4C8C90B9" w14:textId="77777777" w:rsidR="009B4D74" w:rsidRDefault="009B4D74"/>
    <w:p w14:paraId="4798D4A9" w14:textId="77777777" w:rsidR="009B4D74" w:rsidRDefault="009B4D74"/>
    <w:p w14:paraId="4D232DDC" w14:textId="77777777" w:rsidR="009B4D74" w:rsidRDefault="009B4D74"/>
    <w:p w14:paraId="59A3424A" w14:textId="77777777" w:rsidR="009B4D74" w:rsidRDefault="00AA46E4">
      <w:r>
        <w:rPr>
          <w:noProof/>
          <w:lang w:eastAsia="es-EC"/>
        </w:rPr>
        <w:lastRenderedPageBreak/>
        <w:drawing>
          <wp:anchor distT="0" distB="0" distL="114300" distR="114300" simplePos="0" relativeHeight="251660288" behindDoc="1" locked="0" layoutInCell="1" allowOverlap="1" wp14:anchorId="7ADAA8AD" wp14:editId="3185E970">
            <wp:simplePos x="0" y="0"/>
            <wp:positionH relativeFrom="page">
              <wp:align>left</wp:align>
            </wp:positionH>
            <wp:positionV relativeFrom="paragraph">
              <wp:posOffset>-1160780</wp:posOffset>
            </wp:positionV>
            <wp:extent cx="7566785" cy="10695238"/>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6785" cy="10695238"/>
                    </a:xfrm>
                    <a:prstGeom prst="rect">
                      <a:avLst/>
                    </a:prstGeom>
                  </pic:spPr>
                </pic:pic>
              </a:graphicData>
            </a:graphic>
            <wp14:sizeRelH relativeFrom="page">
              <wp14:pctWidth>0</wp14:pctWidth>
            </wp14:sizeRelH>
            <wp14:sizeRelV relativeFrom="page">
              <wp14:pctHeight>0</wp14:pctHeight>
            </wp14:sizeRelV>
          </wp:anchor>
        </w:drawing>
      </w:r>
    </w:p>
    <w:p w14:paraId="6732E3E7" w14:textId="77777777" w:rsidR="009B4D74" w:rsidRDefault="009B4D74"/>
    <w:p w14:paraId="265DF8A6" w14:textId="77777777" w:rsidR="009B4D74" w:rsidRDefault="009B4D74"/>
    <w:p w14:paraId="7E18C913" w14:textId="77777777" w:rsidR="009B4D74" w:rsidRDefault="009B4D74"/>
    <w:p w14:paraId="17E6D6C4" w14:textId="77777777" w:rsidR="009B4D74" w:rsidRDefault="009B4D74"/>
    <w:p w14:paraId="0DC9D03C" w14:textId="77777777" w:rsidR="009B4D74" w:rsidRDefault="009B4D74"/>
    <w:p w14:paraId="124635A9" w14:textId="0E19B8E0" w:rsidR="009B4D74" w:rsidRDefault="009B4D74"/>
    <w:p w14:paraId="2A856026" w14:textId="77777777" w:rsidR="009B4D74" w:rsidRDefault="009B4D74"/>
    <w:p w14:paraId="59C65DC8" w14:textId="77777777" w:rsidR="009B4D74" w:rsidRDefault="009B4D74"/>
    <w:p w14:paraId="2A08A28A" w14:textId="77777777" w:rsidR="009B4D74" w:rsidRDefault="009B4D74"/>
    <w:p w14:paraId="28505CA7" w14:textId="77777777" w:rsidR="009B4D74" w:rsidRDefault="009B4D74"/>
    <w:p w14:paraId="2DFF4850" w14:textId="77777777" w:rsidR="009B4D74" w:rsidRDefault="009B4D74"/>
    <w:p w14:paraId="3585F024" w14:textId="77777777" w:rsidR="009B4D74" w:rsidRDefault="009B4D74"/>
    <w:p w14:paraId="6E5A6F11" w14:textId="77777777" w:rsidR="009B4D74" w:rsidRDefault="009B4D74"/>
    <w:p w14:paraId="1E63BEC9" w14:textId="77777777" w:rsidR="009B4D74" w:rsidRDefault="009B4D74">
      <w:r w:rsidRPr="009B4D74">
        <w:rPr>
          <w:noProof/>
          <w:lang w:eastAsia="es-EC"/>
        </w:rPr>
        <mc:AlternateContent>
          <mc:Choice Requires="wps">
            <w:drawing>
              <wp:anchor distT="0" distB="0" distL="114300" distR="114300" simplePos="0" relativeHeight="251669504" behindDoc="0" locked="0" layoutInCell="1" allowOverlap="1" wp14:anchorId="0BBF9D94" wp14:editId="510CF2EF">
                <wp:simplePos x="0" y="0"/>
                <wp:positionH relativeFrom="column">
                  <wp:posOffset>-89535</wp:posOffset>
                </wp:positionH>
                <wp:positionV relativeFrom="paragraph">
                  <wp:posOffset>67310</wp:posOffset>
                </wp:positionV>
                <wp:extent cx="5755005" cy="3781425"/>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5755005" cy="3781425"/>
                        </a:xfrm>
                        <a:prstGeom prst="rect">
                          <a:avLst/>
                        </a:prstGeom>
                        <a:noFill/>
                        <a:ln w="6350">
                          <a:noFill/>
                        </a:ln>
                      </wps:spPr>
                      <wps:txbx>
                        <w:txbxContent>
                          <w:p w14:paraId="631C6CD0" w14:textId="761C9E8B" w:rsidR="00BF7001" w:rsidRPr="009B4D74" w:rsidRDefault="00BF7001" w:rsidP="009B4D74">
                            <w:pPr>
                              <w:rPr>
                                <w:rFonts w:ascii="Century Gothic" w:hAnsi="Century Gothic"/>
                                <w:b/>
                                <w:bCs/>
                                <w:color w:val="FFFFFF" w:themeColor="background1"/>
                                <w:sz w:val="92"/>
                                <w:szCs w:val="92"/>
                                <w:lang w:val="es-ES"/>
                              </w:rPr>
                            </w:pPr>
                            <w:r>
                              <w:rPr>
                                <w:rFonts w:ascii="Century Gothic" w:hAnsi="Century Gothic"/>
                                <w:b/>
                                <w:bCs/>
                                <w:color w:val="FFFFFF" w:themeColor="background1"/>
                                <w:sz w:val="92"/>
                                <w:szCs w:val="92"/>
                                <w:lang w:val="es-ES"/>
                              </w:rPr>
                              <w:t>Metodología del Directorio de Empresas y Establecimientos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BF9D94" id="Cuadro de texto 10" o:spid="_x0000_s1028" type="#_x0000_t202" style="position:absolute;margin-left:-7.05pt;margin-top:5.3pt;width:453.15pt;height:297.7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" filled="f" stroked="f" strokeweight=".5pt">
                <v:textbox>
                  <w:txbxContent>
                    <w:p w14:paraId="631C6CD0" w14:textId="761C9E8B" w:rsidR="00BF7001" w:rsidRPr="009B4D74" w:rsidRDefault="00BF7001" w:rsidP="009B4D74">
                      <w:pPr>
                        <w:rPr>
                          <w:rFonts w:ascii="Century Gothic" w:hAnsi="Century Gothic"/>
                          <w:b/>
                          <w:bCs/>
                          <w:color w:val="FFFFFF" w:themeColor="background1"/>
                          <w:sz w:val="92"/>
                          <w:szCs w:val="92"/>
                          <w:lang w:val="es-ES"/>
                        </w:rPr>
                      </w:pPr>
                      <w:r>
                        <w:rPr>
                          <w:rFonts w:ascii="Century Gothic" w:hAnsi="Century Gothic"/>
                          <w:b/>
                          <w:bCs/>
                          <w:color w:val="FFFFFF" w:themeColor="background1"/>
                          <w:sz w:val="92"/>
                          <w:szCs w:val="92"/>
                          <w:lang w:val="es-ES"/>
                        </w:rPr>
                        <w:t>Metodología del Directorio de Empresas y Establecimientos 2021</w:t>
                      </w:r>
                    </w:p>
                  </w:txbxContent>
                </v:textbox>
              </v:shape>
            </w:pict>
          </mc:Fallback>
        </mc:AlternateContent>
      </w:r>
    </w:p>
    <w:p w14:paraId="739AF62A" w14:textId="77777777" w:rsidR="009B4D74" w:rsidRDefault="009B4D74"/>
    <w:p w14:paraId="1AE29E99" w14:textId="77777777" w:rsidR="009B4D74" w:rsidRDefault="009B4D74"/>
    <w:p w14:paraId="02EB1872" w14:textId="77777777" w:rsidR="009B4D74" w:rsidRDefault="009B4D74"/>
    <w:p w14:paraId="10157E1F" w14:textId="77777777" w:rsidR="009B4D74" w:rsidRDefault="009B4D74"/>
    <w:p w14:paraId="2394214A" w14:textId="77777777" w:rsidR="009B4D74" w:rsidRDefault="009B4D74"/>
    <w:p w14:paraId="04CDDCF1" w14:textId="77777777" w:rsidR="009B4D74" w:rsidRDefault="009B4D74"/>
    <w:p w14:paraId="68A1C0D9" w14:textId="77777777" w:rsidR="009B4D74" w:rsidRDefault="009B4D74"/>
    <w:p w14:paraId="2070209F" w14:textId="77777777" w:rsidR="009B4D74" w:rsidRDefault="009B4D74"/>
    <w:p w14:paraId="08A03ACC" w14:textId="77777777" w:rsidR="009B4D74" w:rsidRDefault="009B4D74"/>
    <w:p w14:paraId="05FC5F15" w14:textId="77777777" w:rsidR="009B4D74" w:rsidRDefault="009B4D74"/>
    <w:p w14:paraId="3DD85A3B" w14:textId="77777777" w:rsidR="009B4D74" w:rsidRDefault="009B4D74"/>
    <w:p w14:paraId="300A6CB7" w14:textId="77777777" w:rsidR="009B4D74" w:rsidRDefault="009B4D74"/>
    <w:p w14:paraId="1AF975CF" w14:textId="77777777" w:rsidR="009B4D74" w:rsidRDefault="009B4D74"/>
    <w:p w14:paraId="6F294B0E" w14:textId="77777777" w:rsidR="009B4D74" w:rsidRDefault="009B4D74"/>
    <w:p w14:paraId="1E315585" w14:textId="77777777" w:rsidR="009B4D74" w:rsidRDefault="009B4D74"/>
    <w:p w14:paraId="65AA857D" w14:textId="77777777" w:rsidR="009B4D74" w:rsidRDefault="009B4D74"/>
    <w:p w14:paraId="59CFF2C3" w14:textId="77777777" w:rsidR="009B4D74" w:rsidRDefault="009B4D74"/>
    <w:p w14:paraId="19A10154" w14:textId="77777777" w:rsidR="009B4D74" w:rsidRDefault="009B4D74"/>
    <w:p w14:paraId="50BCA8DD" w14:textId="77777777" w:rsidR="009B4D74" w:rsidRDefault="009B4D74"/>
    <w:p w14:paraId="70A70CB6" w14:textId="77777777" w:rsidR="009B4D74" w:rsidRDefault="009B4D74"/>
    <w:p w14:paraId="539F8792" w14:textId="77777777" w:rsidR="009B4D74" w:rsidRDefault="009B4D74"/>
    <w:p w14:paraId="2A20C3C8" w14:textId="77777777" w:rsidR="009B4D74" w:rsidRDefault="009B4D74"/>
    <w:p w14:paraId="46039E08" w14:textId="77777777" w:rsidR="009B4D74" w:rsidRDefault="009B4D74"/>
    <w:p w14:paraId="13D27299" w14:textId="77777777" w:rsidR="009B4D74" w:rsidRDefault="009B4D74"/>
    <w:p w14:paraId="0B831B52" w14:textId="77777777" w:rsidR="009B4D74" w:rsidRDefault="009B4D74"/>
    <w:p w14:paraId="3FBBD40F" w14:textId="77777777" w:rsidR="009B4D74" w:rsidRDefault="009B4D74"/>
    <w:p w14:paraId="23C310ED" w14:textId="77777777" w:rsidR="009B4D74" w:rsidRDefault="009B4D74"/>
    <w:p w14:paraId="0D6D26E6" w14:textId="77777777" w:rsidR="009B4D74" w:rsidRDefault="009B4D74"/>
    <w:p w14:paraId="2F79EE04" w14:textId="77777777" w:rsidR="009B4D74" w:rsidRDefault="009B4D74"/>
    <w:p w14:paraId="73ACEC96" w14:textId="77777777" w:rsidR="009B4D74" w:rsidRDefault="009B4D74">
      <w:r w:rsidRPr="009B4D74">
        <w:rPr>
          <w:noProof/>
          <w:lang w:eastAsia="es-EC"/>
        </w:rPr>
        <mc:AlternateContent>
          <mc:Choice Requires="wps">
            <w:drawing>
              <wp:anchor distT="0" distB="0" distL="114300" distR="114300" simplePos="0" relativeHeight="251671552" behindDoc="0" locked="0" layoutInCell="1" allowOverlap="1" wp14:anchorId="78D08F31" wp14:editId="741238DE">
                <wp:simplePos x="0" y="0"/>
                <wp:positionH relativeFrom="column">
                  <wp:posOffset>555027</wp:posOffset>
                </wp:positionH>
                <wp:positionV relativeFrom="paragraph">
                  <wp:posOffset>152064</wp:posOffset>
                </wp:positionV>
                <wp:extent cx="5755005" cy="462093"/>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5755005" cy="462093"/>
                        </a:xfrm>
                        <a:prstGeom prst="rect">
                          <a:avLst/>
                        </a:prstGeom>
                        <a:noFill/>
                        <a:ln w="6350">
                          <a:noFill/>
                        </a:ln>
                      </wps:spPr>
                      <wps:txbx>
                        <w:txbxContent>
                          <w:p w14:paraId="6599CA6E" w14:textId="77777777" w:rsidR="00BF7001" w:rsidRPr="009B4D74" w:rsidRDefault="00BF7001" w:rsidP="009B4D74">
                            <w:pPr>
                              <w:rPr>
                                <w:rFonts w:ascii="Century Gothic" w:hAnsi="Century Gothic"/>
                                <w:i/>
                                <w:iCs/>
                                <w:color w:val="FFFFFF" w:themeColor="background1"/>
                                <w:lang w:val="es-ES"/>
                              </w:rPr>
                            </w:pPr>
                            <w:r>
                              <w:rPr>
                                <w:rFonts w:ascii="Century Gothic" w:hAnsi="Century Gothic"/>
                                <w:i/>
                                <w:iCs/>
                                <w:noProof/>
                                <w:color w:val="FFFFFF" w:themeColor="background1"/>
                                <w:lang w:eastAsia="es-EC"/>
                              </w:rPr>
                              <w:t>Directorio de Empresas y Establecimientos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D08F31" id="Cuadro de texto 11" o:spid="_x0000_s1029" type="#_x0000_t202" style="position:absolute;margin-left:43.7pt;margin-top:11.95pt;width:453.15pt;height:36.4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" filled="f" stroked="f" strokeweight=".5pt">
                <v:textbox>
                  <w:txbxContent>
                    <w:p w14:paraId="6599CA6E" w14:textId="77777777" w:rsidR="00BF7001" w:rsidRPr="009B4D74" w:rsidRDefault="00BF7001" w:rsidP="009B4D74">
                      <w:pPr>
                        <w:rPr>
                          <w:rFonts w:ascii="Century Gothic" w:hAnsi="Century Gothic"/>
                          <w:i/>
                          <w:iCs/>
                          <w:color w:val="FFFFFF" w:themeColor="background1"/>
                          <w:lang w:val="es-ES"/>
                        </w:rPr>
                      </w:pPr>
                      <w:r>
                        <w:rPr>
                          <w:rFonts w:ascii="Century Gothic" w:hAnsi="Century Gothic"/>
                          <w:i/>
                          <w:iCs/>
                          <w:noProof/>
                          <w:color w:val="FFFFFF" w:themeColor="background1"/>
                          <w:lang w:eastAsia="es-EC"/>
                        </w:rPr>
                        <w:t>Directorio de Empresas y Establecimientos</w:t>
                      </w:r>
                    </w:p>
                  </w:txbxContent>
                </v:textbox>
              </v:shape>
            </w:pict>
          </mc:Fallback>
        </mc:AlternateContent>
      </w:r>
    </w:p>
    <w:p w14:paraId="4BFD2E3A" w14:textId="77777777" w:rsidR="009B4D74" w:rsidRDefault="009B4D74"/>
    <w:p w14:paraId="4AE34B19" w14:textId="77777777" w:rsidR="009B4D74" w:rsidRDefault="009B4D74"/>
    <w:p w14:paraId="0CC4EABB" w14:textId="77777777" w:rsidR="009B4D74" w:rsidRDefault="009B4D74"/>
    <w:p w14:paraId="796DC9F1" w14:textId="77777777" w:rsidR="009B4D74" w:rsidRDefault="009B4D74"/>
    <w:p w14:paraId="03E923BB" w14:textId="77777777" w:rsidR="009B4D74" w:rsidRPr="00443329" w:rsidRDefault="009B4D74" w:rsidP="00443329"/>
    <w:p w14:paraId="220C761B"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r w:rsidRPr="00AA46E4">
        <w:rPr>
          <w:rFonts w:ascii="Century Gothic" w:hAnsi="Century Gothic" w:cs="Arial"/>
          <w:color w:val="595959" w:themeColor="text1" w:themeTint="A6"/>
          <w:lang w:eastAsia="es-EC"/>
        </w:rPr>
        <w:t>Instituto Nacional de Estadística y Censos</w:t>
      </w:r>
    </w:p>
    <w:p w14:paraId="531BB3FD"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8D4C401"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45704510"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7F164376"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1426FF1B"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7155E64"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49D2E2EB"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A581AE0"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10BE47B"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0492C1C"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22DF774"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87AE958" w14:textId="77777777" w:rsidR="00AA46E4" w:rsidRPr="00443329" w:rsidRDefault="00AA46E4" w:rsidP="00443329">
      <w:pPr>
        <w:pStyle w:val="Prrafodelista"/>
        <w:spacing w:after="0" w:line="240" w:lineRule="auto"/>
        <w:ind w:left="708"/>
        <w:jc w:val="left"/>
        <w:rPr>
          <w:rFonts w:ascii="Century Gothic" w:hAnsi="Century Gothic"/>
          <w:color w:val="595959" w:themeColor="text1" w:themeTint="A6"/>
          <w:sz w:val="24"/>
        </w:rPr>
      </w:pPr>
    </w:p>
    <w:p w14:paraId="0E56A465" w14:textId="75F733DF" w:rsidR="00AA46E4" w:rsidRPr="00443329" w:rsidRDefault="00AA46E4" w:rsidP="00443329">
      <w:pPr>
        <w:pStyle w:val="Prrafodelista"/>
        <w:spacing w:after="0" w:line="240" w:lineRule="auto"/>
        <w:ind w:left="708"/>
        <w:jc w:val="left"/>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Directorio de </w:t>
      </w:r>
      <w:r w:rsidR="009F3C38">
        <w:rPr>
          <w:rFonts w:ascii="Century Gothic" w:hAnsi="Century Gothic"/>
          <w:color w:val="595959" w:themeColor="text1" w:themeTint="A6"/>
          <w:sz w:val="24"/>
        </w:rPr>
        <w:t>Empresas y Establecimientos 2021</w:t>
      </w:r>
    </w:p>
    <w:p w14:paraId="2CED7ED9"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E28219A"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549DD175"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45795E67"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5C277AA5"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7198F4FD"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13FB8114" w14:textId="096CF25B" w:rsidR="00AA46E4" w:rsidRPr="00AA46E4" w:rsidRDefault="009F3C38" w:rsidP="00443329">
      <w:pPr>
        <w:autoSpaceDE w:val="0"/>
        <w:autoSpaceDN w:val="0"/>
        <w:adjustRightInd w:val="0"/>
        <w:ind w:left="708"/>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Año 2021</w:t>
      </w:r>
    </w:p>
    <w:p w14:paraId="329396C9"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30C7189"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F6C90C6"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2FAED5F"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5F712FA6"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143DE0DA"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4E7D41A"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CC0B92B"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88C8AA7"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02AFEF08"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271A886"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4D5AF360"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35377A6D"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C606531"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0916C81E"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4A07ED08"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D1D2659"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5254E106"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1D4981F7"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280BB1F4"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3B6B395"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73144214" w14:textId="77777777"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p>
    <w:p w14:paraId="6B37E922" w14:textId="4DBBAACB" w:rsidR="00AA46E4" w:rsidRPr="00AA46E4" w:rsidRDefault="00AA46E4" w:rsidP="00443329">
      <w:pPr>
        <w:autoSpaceDE w:val="0"/>
        <w:autoSpaceDN w:val="0"/>
        <w:adjustRightInd w:val="0"/>
        <w:ind w:left="708"/>
        <w:rPr>
          <w:rFonts w:ascii="Century Gothic" w:hAnsi="Century Gothic" w:cs="Arial"/>
          <w:color w:val="595959" w:themeColor="text1" w:themeTint="A6"/>
          <w:lang w:eastAsia="es-EC"/>
        </w:rPr>
      </w:pPr>
      <w:r w:rsidRPr="00AA46E4">
        <w:rPr>
          <w:rFonts w:ascii="Century Gothic" w:hAnsi="Century Gothic" w:cs="Arial"/>
          <w:color w:val="595959" w:themeColor="text1" w:themeTint="A6"/>
          <w:lang w:eastAsia="es-EC"/>
        </w:rPr>
        <w:t xml:space="preserve">Quito, </w:t>
      </w:r>
      <w:r w:rsidR="007833E0">
        <w:rPr>
          <w:rFonts w:ascii="Century Gothic" w:hAnsi="Century Gothic" w:cs="Arial"/>
          <w:color w:val="595959" w:themeColor="text1" w:themeTint="A6"/>
          <w:lang w:eastAsia="es-EC"/>
        </w:rPr>
        <w:t>Ecuador</w:t>
      </w:r>
      <w:r w:rsidR="00994292">
        <w:rPr>
          <w:rFonts w:ascii="Century Gothic" w:hAnsi="Century Gothic" w:cs="Arial"/>
          <w:color w:val="595959" w:themeColor="text1" w:themeTint="A6"/>
          <w:lang w:eastAsia="es-EC"/>
        </w:rPr>
        <w:t>, 2022</w:t>
      </w:r>
    </w:p>
    <w:p w14:paraId="5AF79E88" w14:textId="77777777" w:rsidR="00AA46E4" w:rsidRPr="00A86237" w:rsidRDefault="00AA46E4" w:rsidP="00CF0C1E">
      <w:pPr>
        <w:autoSpaceDE w:val="0"/>
        <w:autoSpaceDN w:val="0"/>
        <w:adjustRightInd w:val="0"/>
        <w:rPr>
          <w:rFonts w:ascii="Century Gothic" w:hAnsi="Century Gothic" w:cs="Arial"/>
          <w:color w:val="595959" w:themeColor="text1" w:themeTint="A6"/>
          <w:szCs w:val="20"/>
          <w:lang w:eastAsia="es-EC"/>
        </w:rPr>
      </w:pPr>
    </w:p>
    <w:p w14:paraId="6889B7DF" w14:textId="77777777" w:rsidR="00AA46E4" w:rsidRPr="00A86237" w:rsidRDefault="00AA46E4" w:rsidP="00CF0C1E">
      <w:pPr>
        <w:rPr>
          <w:rFonts w:ascii="Century Gothic" w:hAnsi="Century Gothic" w:cs="Arial"/>
          <w:color w:val="595959" w:themeColor="text1" w:themeTint="A6"/>
          <w:szCs w:val="20"/>
          <w:lang w:eastAsia="es-EC"/>
        </w:rPr>
      </w:pPr>
    </w:p>
    <w:bookmarkStart w:id="1" w:name="_Toc412998096"/>
    <w:p w14:paraId="5101278B" w14:textId="77777777" w:rsidR="00AA46E4" w:rsidRPr="0090704D" w:rsidRDefault="00AA46E4" w:rsidP="00AA46E4">
      <w:pPr>
        <w:jc w:val="center"/>
        <w:rPr>
          <w:rFonts w:ascii="Century Gothic" w:hAnsi="Century Gothic"/>
          <w:b/>
          <w:bCs/>
          <w:color w:val="A6A6A6" w:themeColor="background1" w:themeShade="A6"/>
          <w:sz w:val="48"/>
          <w:szCs w:val="48"/>
        </w:rPr>
      </w:pPr>
      <w:r w:rsidRPr="00A86237">
        <w:rPr>
          <w:rFonts w:ascii="Century Gothic" w:hAnsi="Century Gothic" w:cs="Arial"/>
          <w:noProof/>
          <w:color w:val="595959" w:themeColor="text1" w:themeTint="A6"/>
          <w:sz w:val="22"/>
          <w:lang w:eastAsia="es-EC"/>
        </w:rPr>
        <mc:AlternateContent>
          <mc:Choice Requires="wps">
            <w:drawing>
              <wp:anchor distT="0" distB="0" distL="114300" distR="114300" simplePos="0" relativeHeight="251676672" behindDoc="0" locked="0" layoutInCell="1" allowOverlap="1" wp14:anchorId="7A1C9667" wp14:editId="35C2F411">
                <wp:simplePos x="0" y="0"/>
                <wp:positionH relativeFrom="column">
                  <wp:posOffset>-394335</wp:posOffset>
                </wp:positionH>
                <wp:positionV relativeFrom="paragraph">
                  <wp:posOffset>1043940</wp:posOffset>
                </wp:positionV>
                <wp:extent cx="4781550" cy="3648075"/>
                <wp:effectExtent l="0" t="0" r="19050" b="28575"/>
                <wp:wrapNone/>
                <wp:docPr id="1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3648075"/>
                        </a:xfrm>
                        <a:prstGeom prst="rect">
                          <a:avLst/>
                        </a:prstGeom>
                        <a:solidFill>
                          <a:srgbClr val="FFFFFF"/>
                        </a:solidFill>
                        <a:ln w="9525">
                          <a:solidFill>
                            <a:schemeClr val="bg1"/>
                          </a:solidFill>
                          <a:miter lim="800000"/>
                          <a:headEnd/>
                          <a:tailEnd/>
                        </a:ln>
                      </wps:spPr>
                      <wps:txbx>
                        <w:txbxContent>
                          <w:p w14:paraId="591E996E" w14:textId="77777777" w:rsidR="00BF7001" w:rsidRPr="00FC6BFC" w:rsidRDefault="00BF7001" w:rsidP="00AA46E4">
                            <w:pPr>
                              <w:pStyle w:val="Piedepgina"/>
                              <w:rPr>
                                <w:rFonts w:cs="Arial"/>
                                <w:b/>
                                <w:color w:val="595959" w:themeColor="text1" w:themeTint="A6"/>
                              </w:rPr>
                            </w:pPr>
                          </w:p>
                          <w:p w14:paraId="05F104E1" w14:textId="77777777" w:rsidR="00BF7001" w:rsidRPr="00AA46E4" w:rsidRDefault="00BF7001" w:rsidP="00AA46E4">
                            <w:pPr>
                              <w:pStyle w:val="Piedepgina"/>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Dirección:</w:t>
                            </w:r>
                          </w:p>
                          <w:p w14:paraId="0A54DF25" w14:textId="77777777" w:rsidR="00BF7001" w:rsidRPr="00AA46E4" w:rsidRDefault="00BF7001" w:rsidP="00AA46E4">
                            <w:pPr>
                              <w:pStyle w:val="Piedepgina"/>
                              <w:ind w:left="708"/>
                              <w:rPr>
                                <w:rFonts w:ascii="Century Gothic" w:hAnsi="Century Gothic" w:cs="Arial"/>
                                <w:color w:val="595959" w:themeColor="text1" w:themeTint="A6"/>
                              </w:rPr>
                            </w:pPr>
                            <w:r w:rsidRPr="00AA46E4">
                              <w:rPr>
                                <w:rFonts w:ascii="Century Gothic" w:hAnsi="Century Gothic" w:cs="Arial"/>
                                <w:color w:val="595959" w:themeColor="text1" w:themeTint="A6"/>
                              </w:rPr>
                              <w:t>Dirección de Estadísticas Económicas</w:t>
                            </w:r>
                          </w:p>
                          <w:p w14:paraId="750132C7" w14:textId="77777777" w:rsidR="00BF7001" w:rsidRPr="00AA46E4" w:rsidRDefault="00BF7001" w:rsidP="00AA46E4">
                            <w:pPr>
                              <w:pStyle w:val="Piedepgina"/>
                              <w:ind w:left="708"/>
                              <w:rPr>
                                <w:rFonts w:ascii="Century Gothic" w:hAnsi="Century Gothic" w:cs="Arial"/>
                                <w:b/>
                                <w:color w:val="595959" w:themeColor="text1" w:themeTint="A6"/>
                              </w:rPr>
                            </w:pPr>
                          </w:p>
                          <w:p w14:paraId="4A06002B" w14:textId="77777777" w:rsidR="00BF7001" w:rsidRPr="00AA46E4" w:rsidRDefault="00BF7001" w:rsidP="00AA46E4">
                            <w:pPr>
                              <w:pStyle w:val="Piedepgina"/>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Unidad:</w:t>
                            </w:r>
                          </w:p>
                          <w:p w14:paraId="63413F78" w14:textId="77777777" w:rsidR="00BF7001" w:rsidRPr="00AA46E4" w:rsidRDefault="00BF7001" w:rsidP="00AA46E4">
                            <w:pPr>
                              <w:pStyle w:val="Piedepgina"/>
                              <w:ind w:left="708"/>
                              <w:rPr>
                                <w:rFonts w:ascii="Century Gothic" w:hAnsi="Century Gothic" w:cs="Arial"/>
                                <w:color w:val="595959" w:themeColor="text1" w:themeTint="A6"/>
                              </w:rPr>
                            </w:pPr>
                            <w:r w:rsidRPr="00AA46E4">
                              <w:rPr>
                                <w:rFonts w:ascii="Century Gothic" w:hAnsi="Century Gothic" w:cs="Arial"/>
                                <w:color w:val="595959" w:themeColor="text1" w:themeTint="A6"/>
                              </w:rPr>
                              <w:t>Gestión de Estadísticas Económicas en base a Registros Administrativos (GEERA)</w:t>
                            </w:r>
                          </w:p>
                          <w:p w14:paraId="592CD43B" w14:textId="77777777" w:rsidR="00BF7001" w:rsidRPr="00AA46E4" w:rsidRDefault="00BF7001" w:rsidP="00AA46E4">
                            <w:pPr>
                              <w:pStyle w:val="Piedepgina"/>
                              <w:ind w:left="708"/>
                              <w:rPr>
                                <w:rFonts w:ascii="Century Gothic" w:hAnsi="Century Gothic" w:cs="Arial"/>
                                <w:color w:val="595959" w:themeColor="text1" w:themeTint="A6"/>
                              </w:rPr>
                            </w:pPr>
                          </w:p>
                          <w:p w14:paraId="27D6BC05" w14:textId="77777777" w:rsidR="00BF7001" w:rsidRPr="00AA46E4" w:rsidRDefault="00BF7001" w:rsidP="00AA46E4">
                            <w:pPr>
                              <w:pStyle w:val="Encabezado"/>
                              <w:ind w:left="708"/>
                              <w:rPr>
                                <w:rFonts w:ascii="Century Gothic" w:hAnsi="Century Gothic" w:cs="Arial"/>
                                <w:color w:val="595959" w:themeColor="text1" w:themeTint="A6"/>
                                <w:lang w:val="es-ES"/>
                              </w:rPr>
                            </w:pPr>
                            <w:r w:rsidRPr="00AA46E4">
                              <w:rPr>
                                <w:rFonts w:ascii="Century Gothic" w:hAnsi="Century Gothic" w:cs="Arial"/>
                                <w:b/>
                                <w:color w:val="595959" w:themeColor="text1" w:themeTint="A6"/>
                              </w:rPr>
                              <w:t>Elaborado por:</w:t>
                            </w:r>
                            <w:r w:rsidRPr="00AA46E4">
                              <w:rPr>
                                <w:rFonts w:ascii="Century Gothic" w:hAnsi="Century Gothic" w:cs="Arial"/>
                                <w:color w:val="595959" w:themeColor="text1" w:themeTint="A6"/>
                                <w:lang w:val="es-ES"/>
                              </w:rPr>
                              <w:t xml:space="preserve"> </w:t>
                            </w:r>
                          </w:p>
                          <w:p w14:paraId="18917AAC" w14:textId="77777777" w:rsidR="00BF7001" w:rsidRPr="00AA46E4" w:rsidRDefault="00BF7001" w:rsidP="007833E0">
                            <w:pPr>
                              <w:pStyle w:val="Encabezado"/>
                              <w:ind w:left="708"/>
                              <w:rPr>
                                <w:rFonts w:ascii="Century Gothic" w:hAnsi="Century Gothic" w:cs="Arial"/>
                                <w:color w:val="595959" w:themeColor="text1" w:themeTint="A6"/>
                                <w:lang w:val="es-ES"/>
                              </w:rPr>
                            </w:pPr>
                            <w:r>
                              <w:rPr>
                                <w:rFonts w:ascii="Century Gothic" w:hAnsi="Century Gothic" w:cs="Arial"/>
                                <w:color w:val="595959" w:themeColor="text1" w:themeTint="A6"/>
                                <w:lang w:val="es-ES"/>
                              </w:rPr>
                              <w:t>Rocío Andino</w:t>
                            </w:r>
                          </w:p>
                          <w:p w14:paraId="73F7C476" w14:textId="0CAF5EFE" w:rsidR="00BF7001" w:rsidRDefault="00BF7001" w:rsidP="00AA46E4">
                            <w:pPr>
                              <w:pStyle w:val="Encabezado"/>
                              <w:ind w:left="708"/>
                              <w:rPr>
                                <w:rFonts w:ascii="Century Gothic" w:hAnsi="Century Gothic" w:cs="Arial"/>
                                <w:color w:val="595959" w:themeColor="text1" w:themeTint="A6"/>
                                <w:lang w:val="es-ES"/>
                              </w:rPr>
                            </w:pPr>
                            <w:r w:rsidRPr="00AA46E4">
                              <w:rPr>
                                <w:rFonts w:ascii="Century Gothic" w:hAnsi="Century Gothic" w:cs="Arial"/>
                                <w:color w:val="595959" w:themeColor="text1" w:themeTint="A6"/>
                                <w:lang w:val="es-ES"/>
                              </w:rPr>
                              <w:t>Jacqueline Imbaquingo</w:t>
                            </w:r>
                          </w:p>
                          <w:p w14:paraId="0338C900" w14:textId="5022009B" w:rsidR="00BF7001" w:rsidRPr="00AA46E4" w:rsidRDefault="00BF7001" w:rsidP="00AA46E4">
                            <w:pPr>
                              <w:pStyle w:val="Encabezado"/>
                              <w:ind w:left="708"/>
                              <w:rPr>
                                <w:rFonts w:ascii="Century Gothic" w:hAnsi="Century Gothic" w:cs="Arial"/>
                                <w:color w:val="595959" w:themeColor="text1" w:themeTint="A6"/>
                                <w:lang w:val="es-ES"/>
                              </w:rPr>
                            </w:pPr>
                            <w:r>
                              <w:rPr>
                                <w:rFonts w:ascii="Century Gothic" w:hAnsi="Century Gothic" w:cs="Arial"/>
                                <w:color w:val="595959" w:themeColor="text1" w:themeTint="A6"/>
                                <w:lang w:val="es-ES"/>
                              </w:rPr>
                              <w:t>Evelin Morales</w:t>
                            </w:r>
                          </w:p>
                          <w:p w14:paraId="3483A84B" w14:textId="77777777" w:rsidR="00BF7001" w:rsidRPr="00AA46E4" w:rsidRDefault="00BF7001" w:rsidP="00AA46E4">
                            <w:pPr>
                              <w:pStyle w:val="Encabezado"/>
                              <w:ind w:left="708"/>
                              <w:rPr>
                                <w:rFonts w:ascii="Century Gothic" w:hAnsi="Century Gothic" w:cs="Arial"/>
                                <w:color w:val="595959" w:themeColor="text1" w:themeTint="A6"/>
                                <w:lang w:val="es-ES"/>
                              </w:rPr>
                            </w:pPr>
                          </w:p>
                          <w:p w14:paraId="39DC0DEE" w14:textId="77777777" w:rsidR="00BF7001" w:rsidRPr="00AA46E4" w:rsidRDefault="00BF7001" w:rsidP="00AA46E4">
                            <w:pPr>
                              <w:pStyle w:val="Encabezado"/>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 xml:space="preserve">Revisado por: </w:t>
                            </w:r>
                          </w:p>
                          <w:p w14:paraId="4A0F3548" w14:textId="77777777" w:rsidR="00BF7001" w:rsidRPr="00AA46E4" w:rsidRDefault="00BF7001" w:rsidP="00AA46E4">
                            <w:pPr>
                              <w:pStyle w:val="Encabezado"/>
                              <w:ind w:left="708"/>
                              <w:rPr>
                                <w:rFonts w:ascii="Century Gothic" w:hAnsi="Century Gothic" w:cs="Arial"/>
                                <w:color w:val="595959" w:themeColor="text1" w:themeTint="A6"/>
                              </w:rPr>
                            </w:pPr>
                            <w:r w:rsidRPr="00AA46E4">
                              <w:rPr>
                                <w:rFonts w:ascii="Century Gothic" w:hAnsi="Century Gothic" w:cs="Arial"/>
                                <w:color w:val="595959" w:themeColor="text1" w:themeTint="A6"/>
                              </w:rPr>
                              <w:t>Libertad Trujillo</w:t>
                            </w:r>
                          </w:p>
                          <w:p w14:paraId="447BF27B" w14:textId="55DDB2BA" w:rsidR="00BF7001" w:rsidRPr="00AA46E4" w:rsidRDefault="00BF7001" w:rsidP="00AA46E4">
                            <w:pPr>
                              <w:pStyle w:val="Encabezado"/>
                              <w:ind w:left="708"/>
                              <w:rPr>
                                <w:rFonts w:ascii="Century Gothic" w:hAnsi="Century Gothic" w:cs="Arial"/>
                                <w:color w:val="595959" w:themeColor="text1" w:themeTint="A6"/>
                              </w:rPr>
                            </w:pPr>
                            <w:r>
                              <w:rPr>
                                <w:rFonts w:ascii="Century Gothic" w:hAnsi="Century Gothic" w:cs="Arial"/>
                                <w:color w:val="595959" w:themeColor="text1" w:themeTint="A6"/>
                              </w:rPr>
                              <w:t>Diana Barco</w:t>
                            </w:r>
                          </w:p>
                          <w:p w14:paraId="62124507" w14:textId="77777777" w:rsidR="00BF7001" w:rsidRPr="00AA46E4" w:rsidRDefault="00BF7001" w:rsidP="00AA46E4">
                            <w:pPr>
                              <w:pStyle w:val="Encabezado"/>
                              <w:ind w:left="708"/>
                              <w:rPr>
                                <w:rFonts w:ascii="Century Gothic" w:hAnsi="Century Gothic" w:cs="Arial"/>
                                <w:color w:val="595959" w:themeColor="text1" w:themeTint="A6"/>
                              </w:rPr>
                            </w:pPr>
                          </w:p>
                          <w:p w14:paraId="71EF1068" w14:textId="77777777" w:rsidR="00BF7001" w:rsidRPr="00AA46E4" w:rsidRDefault="00BF7001" w:rsidP="00AA46E4">
                            <w:pPr>
                              <w:pStyle w:val="Encabezado"/>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Aprobado por:</w:t>
                            </w:r>
                          </w:p>
                          <w:p w14:paraId="7B555113" w14:textId="04D0F0A6" w:rsidR="00BF7001" w:rsidRPr="00AA46E4" w:rsidRDefault="00BF7001" w:rsidP="00ED1B54">
                            <w:pPr>
                              <w:pStyle w:val="Encabezado"/>
                              <w:ind w:left="708"/>
                              <w:jc w:val="both"/>
                              <w:rPr>
                                <w:rFonts w:ascii="Century Gothic" w:hAnsi="Century Gothic" w:cs="Arial"/>
                                <w:color w:val="595959" w:themeColor="text1" w:themeTint="A6"/>
                              </w:rPr>
                            </w:pPr>
                            <w:r>
                              <w:rPr>
                                <w:rFonts w:ascii="Century Gothic" w:hAnsi="Century Gothic" w:cs="Arial"/>
                                <w:color w:val="595959" w:themeColor="text1" w:themeTint="A6"/>
                              </w:rPr>
                              <w:t>Julio Muñoz</w:t>
                            </w:r>
                          </w:p>
                          <w:p w14:paraId="13144A4E" w14:textId="77777777" w:rsidR="00BF7001" w:rsidRPr="00FC6BFC" w:rsidRDefault="00BF7001" w:rsidP="00AA46E4">
                            <w:pPr>
                              <w:pStyle w:val="Encabezado"/>
                              <w:rPr>
                                <w:rFonts w:cs="Arial"/>
                                <w:b/>
                                <w:color w:val="595959" w:themeColor="text1" w:themeTint="A6"/>
                              </w:rPr>
                            </w:pPr>
                          </w:p>
                          <w:p w14:paraId="0C734451" w14:textId="77777777" w:rsidR="00BF7001" w:rsidRPr="00F03AE5" w:rsidRDefault="00BF7001" w:rsidP="00AA46E4">
                            <w:pPr>
                              <w:pStyle w:val="Encabezado"/>
                              <w:rPr>
                                <w:rFonts w:cs="Arial"/>
                                <w:b/>
                                <w:color w:val="00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1C9667" id="Text Box 3" o:spid="_x0000_s1030" type="#_x0000_t202" style="position:absolute;left:0;text-align:left;margin-left:-31.05pt;margin-top:82.2pt;width:376.5pt;height:28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" strokecolor="white [3212]">
                <v:textbox>
                  <w:txbxContent>
                    <w:p w14:paraId="591E996E" w14:textId="77777777" w:rsidR="00BF7001" w:rsidRPr="00FC6BFC" w:rsidRDefault="00BF7001" w:rsidP="00AA46E4">
                      <w:pPr>
                        <w:pStyle w:val="Piedepgina"/>
                        <w:rPr>
                          <w:rFonts w:cs="Arial"/>
                          <w:b/>
                          <w:color w:val="595959" w:themeColor="text1" w:themeTint="A6"/>
                        </w:rPr>
                      </w:pPr>
                    </w:p>
                    <w:p w14:paraId="05F104E1" w14:textId="77777777" w:rsidR="00BF7001" w:rsidRPr="00AA46E4" w:rsidRDefault="00BF7001" w:rsidP="00AA46E4">
                      <w:pPr>
                        <w:pStyle w:val="Piedepgina"/>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Dirección:</w:t>
                      </w:r>
                    </w:p>
                    <w:p w14:paraId="0A54DF25" w14:textId="77777777" w:rsidR="00BF7001" w:rsidRPr="00AA46E4" w:rsidRDefault="00BF7001" w:rsidP="00AA46E4">
                      <w:pPr>
                        <w:pStyle w:val="Piedepgina"/>
                        <w:ind w:left="708"/>
                        <w:rPr>
                          <w:rFonts w:ascii="Century Gothic" w:hAnsi="Century Gothic" w:cs="Arial"/>
                          <w:color w:val="595959" w:themeColor="text1" w:themeTint="A6"/>
                        </w:rPr>
                      </w:pPr>
                      <w:r w:rsidRPr="00AA46E4">
                        <w:rPr>
                          <w:rFonts w:ascii="Century Gothic" w:hAnsi="Century Gothic" w:cs="Arial"/>
                          <w:color w:val="595959" w:themeColor="text1" w:themeTint="A6"/>
                        </w:rPr>
                        <w:t>Dirección de Estadísticas Económicas</w:t>
                      </w:r>
                    </w:p>
                    <w:p w14:paraId="750132C7" w14:textId="77777777" w:rsidR="00BF7001" w:rsidRPr="00AA46E4" w:rsidRDefault="00BF7001" w:rsidP="00AA46E4">
                      <w:pPr>
                        <w:pStyle w:val="Piedepgina"/>
                        <w:ind w:left="708"/>
                        <w:rPr>
                          <w:rFonts w:ascii="Century Gothic" w:hAnsi="Century Gothic" w:cs="Arial"/>
                          <w:b/>
                          <w:color w:val="595959" w:themeColor="text1" w:themeTint="A6"/>
                        </w:rPr>
                      </w:pPr>
                    </w:p>
                    <w:p w14:paraId="4A06002B" w14:textId="77777777" w:rsidR="00BF7001" w:rsidRPr="00AA46E4" w:rsidRDefault="00BF7001" w:rsidP="00AA46E4">
                      <w:pPr>
                        <w:pStyle w:val="Piedepgina"/>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Unidad:</w:t>
                      </w:r>
                    </w:p>
                    <w:p w14:paraId="63413F78" w14:textId="77777777" w:rsidR="00BF7001" w:rsidRPr="00AA46E4" w:rsidRDefault="00BF7001" w:rsidP="00AA46E4">
                      <w:pPr>
                        <w:pStyle w:val="Piedepgina"/>
                        <w:ind w:left="708"/>
                        <w:rPr>
                          <w:rFonts w:ascii="Century Gothic" w:hAnsi="Century Gothic" w:cs="Arial"/>
                          <w:color w:val="595959" w:themeColor="text1" w:themeTint="A6"/>
                        </w:rPr>
                      </w:pPr>
                      <w:r w:rsidRPr="00AA46E4">
                        <w:rPr>
                          <w:rFonts w:ascii="Century Gothic" w:hAnsi="Century Gothic" w:cs="Arial"/>
                          <w:color w:val="595959" w:themeColor="text1" w:themeTint="A6"/>
                        </w:rPr>
                        <w:t>Gestión de Estadísticas Económicas en base a Registros Administrativos (GEERA)</w:t>
                      </w:r>
                    </w:p>
                    <w:p w14:paraId="592CD43B" w14:textId="77777777" w:rsidR="00BF7001" w:rsidRPr="00AA46E4" w:rsidRDefault="00BF7001" w:rsidP="00AA46E4">
                      <w:pPr>
                        <w:pStyle w:val="Piedepgina"/>
                        <w:ind w:left="708"/>
                        <w:rPr>
                          <w:rFonts w:ascii="Century Gothic" w:hAnsi="Century Gothic" w:cs="Arial"/>
                          <w:color w:val="595959" w:themeColor="text1" w:themeTint="A6"/>
                        </w:rPr>
                      </w:pPr>
                    </w:p>
                    <w:p w14:paraId="27D6BC05" w14:textId="77777777" w:rsidR="00BF7001" w:rsidRPr="00AA46E4" w:rsidRDefault="00BF7001" w:rsidP="00AA46E4">
                      <w:pPr>
                        <w:pStyle w:val="Encabezado"/>
                        <w:ind w:left="708"/>
                        <w:rPr>
                          <w:rFonts w:ascii="Century Gothic" w:hAnsi="Century Gothic" w:cs="Arial"/>
                          <w:color w:val="595959" w:themeColor="text1" w:themeTint="A6"/>
                          <w:lang w:val="es-ES"/>
                        </w:rPr>
                      </w:pPr>
                      <w:r w:rsidRPr="00AA46E4">
                        <w:rPr>
                          <w:rFonts w:ascii="Century Gothic" w:hAnsi="Century Gothic" w:cs="Arial"/>
                          <w:b/>
                          <w:color w:val="595959" w:themeColor="text1" w:themeTint="A6"/>
                        </w:rPr>
                        <w:t>Elaborado por:</w:t>
                      </w:r>
                      <w:r w:rsidRPr="00AA46E4">
                        <w:rPr>
                          <w:rFonts w:ascii="Century Gothic" w:hAnsi="Century Gothic" w:cs="Arial"/>
                          <w:color w:val="595959" w:themeColor="text1" w:themeTint="A6"/>
                          <w:lang w:val="es-ES"/>
                        </w:rPr>
                        <w:t xml:space="preserve"> </w:t>
                      </w:r>
                    </w:p>
                    <w:p w14:paraId="18917AAC" w14:textId="77777777" w:rsidR="00BF7001" w:rsidRPr="00AA46E4" w:rsidRDefault="00BF7001" w:rsidP="007833E0">
                      <w:pPr>
                        <w:pStyle w:val="Encabezado"/>
                        <w:ind w:left="708"/>
                        <w:rPr>
                          <w:rFonts w:ascii="Century Gothic" w:hAnsi="Century Gothic" w:cs="Arial"/>
                          <w:color w:val="595959" w:themeColor="text1" w:themeTint="A6"/>
                          <w:lang w:val="es-ES"/>
                        </w:rPr>
                      </w:pPr>
                      <w:r>
                        <w:rPr>
                          <w:rFonts w:ascii="Century Gothic" w:hAnsi="Century Gothic" w:cs="Arial"/>
                          <w:color w:val="595959" w:themeColor="text1" w:themeTint="A6"/>
                          <w:lang w:val="es-ES"/>
                        </w:rPr>
                        <w:t>Rocío Andino</w:t>
                      </w:r>
                    </w:p>
                    <w:p w14:paraId="73F7C476" w14:textId="0CAF5EFE" w:rsidR="00BF7001" w:rsidRDefault="00BF7001" w:rsidP="00AA46E4">
                      <w:pPr>
                        <w:pStyle w:val="Encabezado"/>
                        <w:ind w:left="708"/>
                        <w:rPr>
                          <w:rFonts w:ascii="Century Gothic" w:hAnsi="Century Gothic" w:cs="Arial"/>
                          <w:color w:val="595959" w:themeColor="text1" w:themeTint="A6"/>
                          <w:lang w:val="es-ES"/>
                        </w:rPr>
                      </w:pPr>
                      <w:r w:rsidRPr="00AA46E4">
                        <w:rPr>
                          <w:rFonts w:ascii="Century Gothic" w:hAnsi="Century Gothic" w:cs="Arial"/>
                          <w:color w:val="595959" w:themeColor="text1" w:themeTint="A6"/>
                          <w:lang w:val="es-ES"/>
                        </w:rPr>
                        <w:t>Jacqueline Imbaquingo</w:t>
                      </w:r>
                    </w:p>
                    <w:p w14:paraId="0338C900" w14:textId="5022009B" w:rsidR="00BF7001" w:rsidRPr="00AA46E4" w:rsidRDefault="00BF7001" w:rsidP="00AA46E4">
                      <w:pPr>
                        <w:pStyle w:val="Encabezado"/>
                        <w:ind w:left="708"/>
                        <w:rPr>
                          <w:rFonts w:ascii="Century Gothic" w:hAnsi="Century Gothic" w:cs="Arial"/>
                          <w:color w:val="595959" w:themeColor="text1" w:themeTint="A6"/>
                          <w:lang w:val="es-ES"/>
                        </w:rPr>
                      </w:pPr>
                      <w:r>
                        <w:rPr>
                          <w:rFonts w:ascii="Century Gothic" w:hAnsi="Century Gothic" w:cs="Arial"/>
                          <w:color w:val="595959" w:themeColor="text1" w:themeTint="A6"/>
                          <w:lang w:val="es-ES"/>
                        </w:rPr>
                        <w:t>Evelin Morales</w:t>
                      </w:r>
                    </w:p>
                    <w:p w14:paraId="3483A84B" w14:textId="77777777" w:rsidR="00BF7001" w:rsidRPr="00AA46E4" w:rsidRDefault="00BF7001" w:rsidP="00AA46E4">
                      <w:pPr>
                        <w:pStyle w:val="Encabezado"/>
                        <w:ind w:left="708"/>
                        <w:rPr>
                          <w:rFonts w:ascii="Century Gothic" w:hAnsi="Century Gothic" w:cs="Arial"/>
                          <w:color w:val="595959" w:themeColor="text1" w:themeTint="A6"/>
                          <w:lang w:val="es-ES"/>
                        </w:rPr>
                      </w:pPr>
                    </w:p>
                    <w:p w14:paraId="39DC0DEE" w14:textId="77777777" w:rsidR="00BF7001" w:rsidRPr="00AA46E4" w:rsidRDefault="00BF7001" w:rsidP="00AA46E4">
                      <w:pPr>
                        <w:pStyle w:val="Encabezado"/>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 xml:space="preserve">Revisado por: </w:t>
                      </w:r>
                    </w:p>
                    <w:p w14:paraId="4A0F3548" w14:textId="77777777" w:rsidR="00BF7001" w:rsidRPr="00AA46E4" w:rsidRDefault="00BF7001" w:rsidP="00AA46E4">
                      <w:pPr>
                        <w:pStyle w:val="Encabezado"/>
                        <w:ind w:left="708"/>
                        <w:rPr>
                          <w:rFonts w:ascii="Century Gothic" w:hAnsi="Century Gothic" w:cs="Arial"/>
                          <w:color w:val="595959" w:themeColor="text1" w:themeTint="A6"/>
                        </w:rPr>
                      </w:pPr>
                      <w:r w:rsidRPr="00AA46E4">
                        <w:rPr>
                          <w:rFonts w:ascii="Century Gothic" w:hAnsi="Century Gothic" w:cs="Arial"/>
                          <w:color w:val="595959" w:themeColor="text1" w:themeTint="A6"/>
                        </w:rPr>
                        <w:t>Libertad Trujillo</w:t>
                      </w:r>
                    </w:p>
                    <w:p w14:paraId="447BF27B" w14:textId="55DDB2BA" w:rsidR="00BF7001" w:rsidRPr="00AA46E4" w:rsidRDefault="00BF7001" w:rsidP="00AA46E4">
                      <w:pPr>
                        <w:pStyle w:val="Encabezado"/>
                        <w:ind w:left="708"/>
                        <w:rPr>
                          <w:rFonts w:ascii="Century Gothic" w:hAnsi="Century Gothic" w:cs="Arial"/>
                          <w:color w:val="595959" w:themeColor="text1" w:themeTint="A6"/>
                        </w:rPr>
                      </w:pPr>
                      <w:r>
                        <w:rPr>
                          <w:rFonts w:ascii="Century Gothic" w:hAnsi="Century Gothic" w:cs="Arial"/>
                          <w:color w:val="595959" w:themeColor="text1" w:themeTint="A6"/>
                        </w:rPr>
                        <w:t>Diana Barco</w:t>
                      </w:r>
                    </w:p>
                    <w:p w14:paraId="62124507" w14:textId="77777777" w:rsidR="00BF7001" w:rsidRPr="00AA46E4" w:rsidRDefault="00BF7001" w:rsidP="00AA46E4">
                      <w:pPr>
                        <w:pStyle w:val="Encabezado"/>
                        <w:ind w:left="708"/>
                        <w:rPr>
                          <w:rFonts w:ascii="Century Gothic" w:hAnsi="Century Gothic" w:cs="Arial"/>
                          <w:color w:val="595959" w:themeColor="text1" w:themeTint="A6"/>
                        </w:rPr>
                      </w:pPr>
                    </w:p>
                    <w:p w14:paraId="71EF1068" w14:textId="77777777" w:rsidR="00BF7001" w:rsidRPr="00AA46E4" w:rsidRDefault="00BF7001" w:rsidP="00AA46E4">
                      <w:pPr>
                        <w:pStyle w:val="Encabezado"/>
                        <w:ind w:left="708"/>
                        <w:rPr>
                          <w:rFonts w:ascii="Century Gothic" w:hAnsi="Century Gothic" w:cs="Arial"/>
                          <w:b/>
                          <w:color w:val="595959" w:themeColor="text1" w:themeTint="A6"/>
                        </w:rPr>
                      </w:pPr>
                      <w:r w:rsidRPr="00AA46E4">
                        <w:rPr>
                          <w:rFonts w:ascii="Century Gothic" w:hAnsi="Century Gothic" w:cs="Arial"/>
                          <w:b/>
                          <w:color w:val="595959" w:themeColor="text1" w:themeTint="A6"/>
                        </w:rPr>
                        <w:t>Aprobado por:</w:t>
                      </w:r>
                    </w:p>
                    <w:p w14:paraId="7B555113" w14:textId="04D0F0A6" w:rsidR="00BF7001" w:rsidRPr="00AA46E4" w:rsidRDefault="00BF7001" w:rsidP="00ED1B54">
                      <w:pPr>
                        <w:pStyle w:val="Encabezado"/>
                        <w:ind w:left="708"/>
                        <w:jc w:val="both"/>
                        <w:rPr>
                          <w:rFonts w:ascii="Century Gothic" w:hAnsi="Century Gothic" w:cs="Arial"/>
                          <w:color w:val="595959" w:themeColor="text1" w:themeTint="A6"/>
                        </w:rPr>
                      </w:pPr>
                      <w:r>
                        <w:rPr>
                          <w:rFonts w:ascii="Century Gothic" w:hAnsi="Century Gothic" w:cs="Arial"/>
                          <w:color w:val="595959" w:themeColor="text1" w:themeTint="A6"/>
                        </w:rPr>
                        <w:t>Julio Muñoz</w:t>
                      </w:r>
                    </w:p>
                    <w:p w14:paraId="13144A4E" w14:textId="77777777" w:rsidR="00BF7001" w:rsidRPr="00FC6BFC" w:rsidRDefault="00BF7001" w:rsidP="00AA46E4">
                      <w:pPr>
                        <w:pStyle w:val="Encabezado"/>
                        <w:rPr>
                          <w:rFonts w:cs="Arial"/>
                          <w:b/>
                          <w:color w:val="595959" w:themeColor="text1" w:themeTint="A6"/>
                        </w:rPr>
                      </w:pPr>
                    </w:p>
                    <w:p w14:paraId="0C734451" w14:textId="77777777" w:rsidR="00BF7001" w:rsidRPr="00F03AE5" w:rsidRDefault="00BF7001" w:rsidP="00AA46E4">
                      <w:pPr>
                        <w:pStyle w:val="Encabezado"/>
                        <w:rPr>
                          <w:rFonts w:cs="Arial"/>
                          <w:b/>
                          <w:color w:val="000000"/>
                        </w:rPr>
                      </w:pPr>
                    </w:p>
                  </w:txbxContent>
                </v:textbox>
              </v:shape>
            </w:pict>
          </mc:Fallback>
        </mc:AlternateContent>
      </w:r>
      <w:r w:rsidRPr="00A86237">
        <w:rPr>
          <w:rFonts w:ascii="Century Gothic" w:hAnsi="Century Gothic" w:cs="Arial"/>
          <w:color w:val="595959" w:themeColor="text1" w:themeTint="A6"/>
          <w:lang w:eastAsia="es-EC"/>
        </w:rPr>
        <w:br w:type="page"/>
      </w:r>
    </w:p>
    <w:p w14:paraId="04B114D6" w14:textId="77777777" w:rsidR="00492810" w:rsidRPr="00443329" w:rsidRDefault="00492810" w:rsidP="00443329">
      <w:pPr>
        <w:pStyle w:val="TITULOINEC"/>
        <w:jc w:val="left"/>
        <w:rPr>
          <w:b w:val="0"/>
        </w:rPr>
      </w:pPr>
      <w:r w:rsidRPr="00443329">
        <w:t>TABLA DE CONTENIDOS</w:t>
      </w:r>
      <w:bookmarkEnd w:id="0"/>
      <w:bookmarkEnd w:id="1"/>
    </w:p>
    <w:p w14:paraId="18791B94" w14:textId="77777777" w:rsidR="00736A29" w:rsidRPr="00F14460" w:rsidRDefault="00736A29" w:rsidP="00736A29">
      <w:pPr>
        <w:pStyle w:val="TITULOINEC"/>
        <w:rPr>
          <w:lang w:eastAsia="es-EC"/>
        </w:rPr>
      </w:pPr>
    </w:p>
    <w:sdt>
      <w:sdtPr>
        <w:rPr>
          <w:rFonts w:asciiTheme="minorHAnsi" w:hAnsiTheme="minorHAnsi" w:cstheme="minorBidi"/>
          <w:b w:val="0"/>
          <w:bCs w:val="0"/>
          <w:color w:val="000000" w:themeColor="text1"/>
          <w:sz w:val="16"/>
          <w:szCs w:val="24"/>
        </w:rPr>
        <w:id w:val="380212967"/>
        <w:docPartObj>
          <w:docPartGallery w:val="Table of Contents"/>
          <w:docPartUnique/>
        </w:docPartObj>
      </w:sdtPr>
      <w:sdtEndPr>
        <w:rPr>
          <w:color w:val="auto"/>
          <w:sz w:val="24"/>
        </w:rPr>
      </w:sdtEndPr>
      <w:sdtContent>
        <w:p w14:paraId="7923BB54" w14:textId="6E760B17" w:rsidR="00492810" w:rsidRPr="00443329" w:rsidRDefault="00492810" w:rsidP="00492810">
          <w:pPr>
            <w:pStyle w:val="TDC1"/>
            <w:rPr>
              <w:rFonts w:ascii="Century Gothic" w:hAnsi="Century Gothic"/>
              <w:b w:val="0"/>
              <w:noProof/>
              <w:color w:val="595959" w:themeColor="text1" w:themeTint="A6"/>
            </w:rPr>
          </w:pPr>
          <w:r w:rsidRPr="004F6717">
            <w:rPr>
              <w:rFonts w:eastAsiaTheme="majorEastAsia" w:cstheme="majorBidi"/>
              <w:b w:val="0"/>
              <w:color w:val="000000" w:themeColor="text1"/>
              <w:sz w:val="22"/>
              <w:szCs w:val="22"/>
            </w:rPr>
            <w:fldChar w:fldCharType="begin"/>
          </w:r>
          <w:r w:rsidRPr="004F6717">
            <w:rPr>
              <w:b w:val="0"/>
              <w:color w:val="000000" w:themeColor="text1"/>
              <w:sz w:val="22"/>
              <w:szCs w:val="22"/>
            </w:rPr>
            <w:instrText xml:space="preserve"> TOC \o "1-3" \h \z \u </w:instrText>
          </w:r>
          <w:r w:rsidRPr="004F6717">
            <w:rPr>
              <w:rFonts w:eastAsiaTheme="majorEastAsia" w:cstheme="majorBidi"/>
              <w:b w:val="0"/>
              <w:color w:val="000000" w:themeColor="text1"/>
              <w:sz w:val="22"/>
              <w:szCs w:val="22"/>
            </w:rPr>
            <w:fldChar w:fldCharType="separate"/>
          </w:r>
          <w:hyperlink w:anchor="_Toc53757405" w:history="1">
            <w:r w:rsidRPr="00443329">
              <w:rPr>
                <w:rStyle w:val="Hipervnculo"/>
                <w:rFonts w:ascii="Century Gothic" w:hAnsi="Century Gothic"/>
                <w:b w:val="0"/>
                <w:noProof/>
                <w:color w:val="595959" w:themeColor="text1" w:themeTint="A6"/>
              </w:rPr>
              <w:t>INTRODUCCIÓN</w:t>
            </w:r>
            <w:r w:rsidRPr="00443329">
              <w:rPr>
                <w:rFonts w:ascii="Century Gothic" w:hAnsi="Century Gothic"/>
                <w:b w:val="0"/>
                <w:noProof/>
                <w:webHidden/>
                <w:color w:val="595959" w:themeColor="text1" w:themeTint="A6"/>
              </w:rPr>
              <w:tab/>
            </w:r>
            <w:r w:rsidRPr="00443329">
              <w:rPr>
                <w:rFonts w:ascii="Century Gothic" w:hAnsi="Century Gothic"/>
                <w:b w:val="0"/>
                <w:noProof/>
                <w:webHidden/>
                <w:color w:val="595959" w:themeColor="text1" w:themeTint="A6"/>
              </w:rPr>
              <w:fldChar w:fldCharType="begin"/>
            </w:r>
            <w:r w:rsidRPr="00736A29">
              <w:rPr>
                <w:rFonts w:ascii="Century Gothic" w:hAnsi="Century Gothic"/>
                <w:b w:val="0"/>
                <w:bCs w:val="0"/>
                <w:noProof/>
                <w:webHidden/>
                <w:color w:val="595959" w:themeColor="text1" w:themeTint="A6"/>
                <w:szCs w:val="24"/>
              </w:rPr>
              <w:instrText xml:space="preserve"> PAGEREF _Toc53757405 \h </w:instrText>
            </w:r>
            <w:r w:rsidRPr="00443329">
              <w:rPr>
                <w:rFonts w:ascii="Century Gothic" w:hAnsi="Century Gothic"/>
                <w:b w:val="0"/>
                <w:noProof/>
                <w:webHidden/>
                <w:color w:val="595959" w:themeColor="text1" w:themeTint="A6"/>
              </w:rPr>
            </w:r>
            <w:r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8</w:t>
            </w:r>
            <w:r w:rsidRPr="00443329">
              <w:rPr>
                <w:rFonts w:ascii="Century Gothic" w:hAnsi="Century Gothic"/>
                <w:b w:val="0"/>
                <w:noProof/>
                <w:webHidden/>
                <w:color w:val="595959" w:themeColor="text1" w:themeTint="A6"/>
              </w:rPr>
              <w:fldChar w:fldCharType="end"/>
            </w:r>
          </w:hyperlink>
        </w:p>
        <w:p w14:paraId="6AD6790E" w14:textId="257642AC" w:rsidR="00492810" w:rsidRPr="00443329" w:rsidRDefault="007D4D27" w:rsidP="00492810">
          <w:pPr>
            <w:pStyle w:val="TDC1"/>
            <w:rPr>
              <w:rFonts w:ascii="Century Gothic" w:hAnsi="Century Gothic"/>
              <w:b w:val="0"/>
              <w:noProof/>
              <w:color w:val="595959" w:themeColor="text1" w:themeTint="A6"/>
            </w:rPr>
          </w:pPr>
          <w:hyperlink w:anchor="_Toc53757406" w:history="1">
            <w:r w:rsidR="00492810" w:rsidRPr="00443329">
              <w:rPr>
                <w:rStyle w:val="Hipervnculo"/>
                <w:rFonts w:ascii="Century Gothic" w:hAnsi="Century Gothic"/>
                <w:b w:val="0"/>
                <w:noProof/>
                <w:color w:val="595959" w:themeColor="text1" w:themeTint="A6"/>
              </w:rPr>
              <w:t>ANTECEDENTES</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_Toc53757406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9</w:t>
            </w:r>
            <w:r w:rsidR="00492810" w:rsidRPr="00443329">
              <w:rPr>
                <w:rFonts w:ascii="Century Gothic" w:hAnsi="Century Gothic"/>
                <w:b w:val="0"/>
                <w:noProof/>
                <w:webHidden/>
                <w:color w:val="595959" w:themeColor="text1" w:themeTint="A6"/>
              </w:rPr>
              <w:fldChar w:fldCharType="end"/>
            </w:r>
          </w:hyperlink>
        </w:p>
        <w:p w14:paraId="40EEEB86" w14:textId="29B573A2" w:rsidR="00492810" w:rsidRPr="00443329" w:rsidRDefault="007D4D27" w:rsidP="00492810">
          <w:pPr>
            <w:pStyle w:val="TDC1"/>
            <w:rPr>
              <w:rFonts w:ascii="Century Gothic" w:hAnsi="Century Gothic"/>
              <w:b w:val="0"/>
              <w:noProof/>
              <w:color w:val="595959" w:themeColor="text1" w:themeTint="A6"/>
            </w:rPr>
          </w:pPr>
          <w:hyperlink w:anchor="_Toc53757407" w:history="1">
            <w:r w:rsidR="00492810" w:rsidRPr="00443329">
              <w:rPr>
                <w:rStyle w:val="Hipervnculo"/>
                <w:rFonts w:ascii="Century Gothic" w:hAnsi="Century Gothic"/>
                <w:b w:val="0"/>
                <w:noProof/>
                <w:color w:val="595959" w:themeColor="text1" w:themeTint="A6"/>
              </w:rPr>
              <w:t xml:space="preserve">DESCRIPCIÓN DEL PROCESO DE PRODUCCIÓN DEL DIRECTORIO DE EMPRESAS Y ESTABLECIMIENTOS </w:t>
            </w:r>
            <w:r w:rsidR="00880AA1">
              <w:rPr>
                <w:rStyle w:val="Hipervnculo"/>
                <w:rFonts w:ascii="Century Gothic" w:hAnsi="Century Gothic"/>
                <w:b w:val="0"/>
                <w:noProof/>
                <w:color w:val="595959" w:themeColor="text1" w:themeTint="A6"/>
              </w:rPr>
              <w:t>2021</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_Toc53757407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11</w:t>
            </w:r>
            <w:r w:rsidR="00492810" w:rsidRPr="00443329">
              <w:rPr>
                <w:rFonts w:ascii="Century Gothic" w:hAnsi="Century Gothic"/>
                <w:b w:val="0"/>
                <w:noProof/>
                <w:webHidden/>
                <w:color w:val="595959" w:themeColor="text1" w:themeTint="A6"/>
              </w:rPr>
              <w:fldChar w:fldCharType="end"/>
            </w:r>
          </w:hyperlink>
        </w:p>
        <w:p w14:paraId="28CE3AA3" w14:textId="2B23C850" w:rsidR="00492810" w:rsidRPr="00443329" w:rsidRDefault="007D4D27" w:rsidP="00492810">
          <w:pPr>
            <w:pStyle w:val="TDC1"/>
            <w:rPr>
              <w:rFonts w:ascii="Century Gothic" w:hAnsi="Century Gothic"/>
              <w:b w:val="0"/>
              <w:noProof/>
              <w:color w:val="595959" w:themeColor="text1" w:themeTint="A6"/>
            </w:rPr>
          </w:pPr>
          <w:hyperlink w:anchor="_Toc53757408" w:history="1">
            <w:r w:rsidR="00492810" w:rsidRPr="00443329">
              <w:rPr>
                <w:rStyle w:val="Hipervnculo"/>
                <w:rFonts w:ascii="Century Gothic" w:hAnsi="Century Gothic"/>
                <w:b w:val="0"/>
                <w:noProof/>
                <w:color w:val="595959" w:themeColor="text1" w:themeTint="A6"/>
              </w:rPr>
              <w:t>1 PLANIFICACIÓN</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_Toc53757408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11</w:t>
            </w:r>
            <w:r w:rsidR="00492810" w:rsidRPr="00443329">
              <w:rPr>
                <w:rFonts w:ascii="Century Gothic" w:hAnsi="Century Gothic"/>
                <w:b w:val="0"/>
                <w:noProof/>
                <w:webHidden/>
                <w:color w:val="595959" w:themeColor="text1" w:themeTint="A6"/>
              </w:rPr>
              <w:fldChar w:fldCharType="end"/>
            </w:r>
          </w:hyperlink>
        </w:p>
        <w:p w14:paraId="0AAC5995" w14:textId="7A86DE34" w:rsidR="00492810" w:rsidRPr="00443329" w:rsidRDefault="007D4D27" w:rsidP="00492810">
          <w:pPr>
            <w:pStyle w:val="TDC2"/>
            <w:rPr>
              <w:rFonts w:ascii="Century Gothic" w:hAnsi="Century Gothic"/>
              <w:b w:val="0"/>
              <w:smallCaps w:val="0"/>
              <w:noProof/>
              <w:color w:val="595959" w:themeColor="text1" w:themeTint="A6"/>
              <w:sz w:val="24"/>
            </w:rPr>
          </w:pPr>
          <w:hyperlink w:anchor="_Toc53757409" w:history="1">
            <w:r w:rsidR="00492810" w:rsidRPr="00443329">
              <w:rPr>
                <w:rStyle w:val="Hipervnculo"/>
                <w:rFonts w:ascii="Century Gothic" w:hAnsi="Century Gothic"/>
                <w:b w:val="0"/>
                <w:noProof/>
                <w:color w:val="595959" w:themeColor="text1" w:themeTint="A6"/>
                <w:sz w:val="24"/>
              </w:rPr>
              <w:t>1.1</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Identificación de necesidades de información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_Toc53757409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11</w:t>
            </w:r>
            <w:r w:rsidR="00492810" w:rsidRPr="00443329">
              <w:rPr>
                <w:rFonts w:ascii="Century Gothic" w:hAnsi="Century Gothic"/>
                <w:b w:val="0"/>
                <w:noProof/>
                <w:webHidden/>
                <w:color w:val="595959" w:themeColor="text1" w:themeTint="A6"/>
                <w:sz w:val="24"/>
              </w:rPr>
              <w:fldChar w:fldCharType="end"/>
            </w:r>
          </w:hyperlink>
        </w:p>
        <w:p w14:paraId="10F55EDB" w14:textId="364FF240"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10" w:history="1">
            <w:r w:rsidR="00492810" w:rsidRPr="00443329">
              <w:rPr>
                <w:rStyle w:val="Hipervnculo"/>
                <w:rFonts w:ascii="Century Gothic" w:hAnsi="Century Gothic"/>
                <w:noProof/>
                <w:color w:val="595959" w:themeColor="text1" w:themeTint="A6"/>
                <w:sz w:val="24"/>
              </w:rPr>
              <w:t>1.1.1 Usuarios de información</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_Toc53757410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13</w:t>
            </w:r>
            <w:r w:rsidR="00492810" w:rsidRPr="00443329">
              <w:rPr>
                <w:rFonts w:ascii="Century Gothic" w:hAnsi="Century Gothic"/>
                <w:noProof/>
                <w:webHidden/>
                <w:color w:val="595959" w:themeColor="text1" w:themeTint="A6"/>
                <w:sz w:val="24"/>
              </w:rPr>
              <w:fldChar w:fldCharType="end"/>
            </w:r>
          </w:hyperlink>
        </w:p>
        <w:p w14:paraId="3044B41A" w14:textId="721E7CAD" w:rsidR="00492810" w:rsidRPr="00443329" w:rsidRDefault="007D4D27" w:rsidP="00492810">
          <w:pPr>
            <w:pStyle w:val="TDC2"/>
            <w:rPr>
              <w:rFonts w:ascii="Century Gothic" w:hAnsi="Century Gothic"/>
              <w:b w:val="0"/>
              <w:smallCaps w:val="0"/>
              <w:noProof/>
              <w:color w:val="595959" w:themeColor="text1" w:themeTint="A6"/>
              <w:sz w:val="24"/>
            </w:rPr>
          </w:pPr>
          <w:hyperlink w:anchor="_Toc53757411" w:history="1">
            <w:r w:rsidR="00492810" w:rsidRPr="00443329">
              <w:rPr>
                <w:rStyle w:val="Hipervnculo"/>
                <w:rFonts w:ascii="Century Gothic" w:hAnsi="Century Gothic"/>
                <w:b w:val="0"/>
                <w:noProof/>
                <w:color w:val="595959" w:themeColor="text1" w:themeTint="A6"/>
                <w:sz w:val="24"/>
              </w:rPr>
              <w:t>1.2</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Objetivos y delimitación de la operación estadística</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_Toc53757411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15</w:t>
            </w:r>
            <w:r w:rsidR="00492810" w:rsidRPr="00443329">
              <w:rPr>
                <w:rFonts w:ascii="Century Gothic" w:hAnsi="Century Gothic"/>
                <w:b w:val="0"/>
                <w:noProof/>
                <w:webHidden/>
                <w:color w:val="595959" w:themeColor="text1" w:themeTint="A6"/>
                <w:sz w:val="24"/>
              </w:rPr>
              <w:fldChar w:fldCharType="end"/>
            </w:r>
          </w:hyperlink>
        </w:p>
        <w:p w14:paraId="56BE1A4B" w14:textId="5203D488"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17" w:history="1">
            <w:r w:rsidR="00492810" w:rsidRPr="00443329">
              <w:rPr>
                <w:rStyle w:val="Hipervnculo"/>
                <w:rFonts w:ascii="Century Gothic" w:hAnsi="Century Gothic"/>
                <w:noProof/>
                <w:color w:val="595959" w:themeColor="text1" w:themeTint="A6"/>
                <w:sz w:val="24"/>
              </w:rPr>
              <w:t>1.2.1 Objetivos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_Toc53757417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15</w:t>
            </w:r>
            <w:r w:rsidR="00492810" w:rsidRPr="00443329">
              <w:rPr>
                <w:rFonts w:ascii="Century Gothic" w:hAnsi="Century Gothic"/>
                <w:noProof/>
                <w:webHidden/>
                <w:color w:val="595959" w:themeColor="text1" w:themeTint="A6"/>
                <w:sz w:val="24"/>
              </w:rPr>
              <w:fldChar w:fldCharType="end"/>
            </w:r>
          </w:hyperlink>
        </w:p>
        <w:p w14:paraId="560388B6" w14:textId="7E114D6C"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18" w:history="1">
            <w:r w:rsidR="00492810" w:rsidRPr="00443329">
              <w:rPr>
                <w:rStyle w:val="Hipervnculo"/>
                <w:rFonts w:ascii="Century Gothic" w:hAnsi="Century Gothic"/>
                <w:noProof/>
                <w:color w:val="595959" w:themeColor="text1" w:themeTint="A6"/>
                <w:sz w:val="24"/>
              </w:rPr>
              <w:t>1.2.2 Delimitación</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_Toc53757418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15</w:t>
            </w:r>
            <w:r w:rsidR="00492810" w:rsidRPr="00443329">
              <w:rPr>
                <w:rFonts w:ascii="Century Gothic" w:hAnsi="Century Gothic"/>
                <w:noProof/>
                <w:webHidden/>
                <w:color w:val="595959" w:themeColor="text1" w:themeTint="A6"/>
                <w:sz w:val="24"/>
              </w:rPr>
              <w:fldChar w:fldCharType="end"/>
            </w:r>
          </w:hyperlink>
        </w:p>
        <w:p w14:paraId="60A0834F" w14:textId="5AE177EE" w:rsidR="00492810" w:rsidRPr="00443329" w:rsidRDefault="007D4D27" w:rsidP="00492810">
          <w:pPr>
            <w:pStyle w:val="TDC2"/>
            <w:rPr>
              <w:rFonts w:ascii="Century Gothic" w:hAnsi="Century Gothic"/>
              <w:b w:val="0"/>
              <w:smallCaps w:val="0"/>
              <w:noProof/>
              <w:color w:val="595959" w:themeColor="text1" w:themeTint="A6"/>
              <w:sz w:val="24"/>
            </w:rPr>
          </w:pPr>
          <w:hyperlink w:anchor="_Toc53757419" w:history="1">
            <w:r w:rsidR="00492810" w:rsidRPr="00443329">
              <w:rPr>
                <w:rStyle w:val="Hipervnculo"/>
                <w:rFonts w:ascii="Century Gothic" w:hAnsi="Century Gothic"/>
                <w:b w:val="0"/>
                <w:noProof/>
                <w:color w:val="595959" w:themeColor="text1" w:themeTint="A6"/>
                <w:sz w:val="24"/>
              </w:rPr>
              <w:t>1.3</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Marco conceptual y metodológico</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_Toc53757419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17</w:t>
            </w:r>
            <w:r w:rsidR="00492810" w:rsidRPr="00443329">
              <w:rPr>
                <w:rFonts w:ascii="Century Gothic" w:hAnsi="Century Gothic"/>
                <w:b w:val="0"/>
                <w:noProof/>
                <w:webHidden/>
                <w:color w:val="595959" w:themeColor="text1" w:themeTint="A6"/>
                <w:sz w:val="24"/>
              </w:rPr>
              <w:fldChar w:fldCharType="end"/>
            </w:r>
          </w:hyperlink>
        </w:p>
        <w:p w14:paraId="08DA5BB3" w14:textId="627F7D18"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24" w:history="1">
            <w:r w:rsidR="00492810" w:rsidRPr="00443329">
              <w:rPr>
                <w:rStyle w:val="Hipervnculo"/>
                <w:rFonts w:ascii="Century Gothic" w:hAnsi="Century Gothic"/>
                <w:noProof/>
                <w:color w:val="595959" w:themeColor="text1" w:themeTint="A6"/>
                <w:sz w:val="24"/>
              </w:rPr>
              <w:t>1.3.1 Referentes o recomendaciones internacionales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_Toc53757424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17</w:t>
            </w:r>
            <w:r w:rsidR="00492810" w:rsidRPr="00443329">
              <w:rPr>
                <w:rFonts w:ascii="Century Gothic" w:hAnsi="Century Gothic"/>
                <w:noProof/>
                <w:webHidden/>
                <w:color w:val="595959" w:themeColor="text1" w:themeTint="A6"/>
                <w:sz w:val="24"/>
              </w:rPr>
              <w:fldChar w:fldCharType="end"/>
            </w:r>
          </w:hyperlink>
        </w:p>
        <w:p w14:paraId="3BFC8804" w14:textId="1A216973"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25" w:history="1">
            <w:r w:rsidR="00492810" w:rsidRPr="00443329">
              <w:rPr>
                <w:rStyle w:val="Hipervnculo"/>
                <w:rFonts w:ascii="Century Gothic" w:hAnsi="Century Gothic"/>
                <w:noProof/>
                <w:color w:val="595959" w:themeColor="text1" w:themeTint="A6"/>
                <w:sz w:val="24"/>
              </w:rPr>
              <w:t>1.3.2 Delimitación del marco conceptual y metodológico</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_Toc53757425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19</w:t>
            </w:r>
            <w:r w:rsidR="00492810" w:rsidRPr="00443329">
              <w:rPr>
                <w:rFonts w:ascii="Century Gothic" w:hAnsi="Century Gothic"/>
                <w:noProof/>
                <w:webHidden/>
                <w:color w:val="595959" w:themeColor="text1" w:themeTint="A6"/>
                <w:sz w:val="24"/>
              </w:rPr>
              <w:fldChar w:fldCharType="end"/>
            </w:r>
          </w:hyperlink>
        </w:p>
        <w:p w14:paraId="61FADED0" w14:textId="07E57B4A"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26" w:history="1">
            <w:r w:rsidR="00492810" w:rsidRPr="00443329">
              <w:rPr>
                <w:rStyle w:val="Hipervnculo"/>
                <w:rFonts w:ascii="Century Gothic" w:hAnsi="Century Gothic"/>
                <w:noProof/>
                <w:color w:val="595959" w:themeColor="text1" w:themeTint="A6"/>
                <w:sz w:val="24"/>
              </w:rPr>
              <w:t>1.3.3 Nomenclaturas y clasificaciones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_Toc53757426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24</w:t>
            </w:r>
            <w:r w:rsidR="00492810" w:rsidRPr="00443329">
              <w:rPr>
                <w:rFonts w:ascii="Century Gothic" w:hAnsi="Century Gothic"/>
                <w:noProof/>
                <w:webHidden/>
                <w:color w:val="595959" w:themeColor="text1" w:themeTint="A6"/>
                <w:sz w:val="24"/>
              </w:rPr>
              <w:fldChar w:fldCharType="end"/>
            </w:r>
          </w:hyperlink>
        </w:p>
        <w:p w14:paraId="7042B7D6" w14:textId="29E9B8DA" w:rsidR="00492810" w:rsidRPr="00443329" w:rsidRDefault="007D4D27" w:rsidP="00492810">
          <w:pPr>
            <w:pStyle w:val="TDC2"/>
            <w:rPr>
              <w:rFonts w:ascii="Century Gothic" w:hAnsi="Century Gothic"/>
              <w:b w:val="0"/>
              <w:smallCaps w:val="0"/>
              <w:noProof/>
              <w:color w:val="595959" w:themeColor="text1" w:themeTint="A6"/>
              <w:sz w:val="24"/>
            </w:rPr>
          </w:pPr>
          <w:hyperlink w:anchor="_Toc53757427" w:history="1">
            <w:r w:rsidR="00492810" w:rsidRPr="00443329">
              <w:rPr>
                <w:rStyle w:val="Hipervnculo"/>
                <w:rFonts w:ascii="Century Gothic" w:hAnsi="Century Gothic"/>
                <w:b w:val="0"/>
                <w:noProof/>
                <w:color w:val="595959" w:themeColor="text1" w:themeTint="A6"/>
                <w:sz w:val="24"/>
              </w:rPr>
              <w:t>1.4</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Verificación y contraste de la disponibilidad de la información en fuentes oficiales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_Toc53757427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24</w:t>
            </w:r>
            <w:r w:rsidR="00492810" w:rsidRPr="00443329">
              <w:rPr>
                <w:rFonts w:ascii="Century Gothic" w:hAnsi="Century Gothic"/>
                <w:b w:val="0"/>
                <w:noProof/>
                <w:webHidden/>
                <w:color w:val="595959" w:themeColor="text1" w:themeTint="A6"/>
                <w:sz w:val="24"/>
              </w:rPr>
              <w:fldChar w:fldCharType="end"/>
            </w:r>
          </w:hyperlink>
        </w:p>
        <w:p w14:paraId="4A938A9F" w14:textId="1EC882A4" w:rsidR="00492810" w:rsidRPr="00443329" w:rsidRDefault="007D4D27" w:rsidP="00492810">
          <w:pPr>
            <w:pStyle w:val="TDC2"/>
            <w:rPr>
              <w:rFonts w:ascii="Century Gothic" w:hAnsi="Century Gothic"/>
              <w:b w:val="0"/>
              <w:smallCaps w:val="0"/>
              <w:noProof/>
              <w:color w:val="595959" w:themeColor="text1" w:themeTint="A6"/>
              <w:sz w:val="24"/>
            </w:rPr>
          </w:pPr>
          <w:hyperlink w:anchor="_Toc53757428" w:history="1">
            <w:r w:rsidR="00492810" w:rsidRPr="00443329">
              <w:rPr>
                <w:rStyle w:val="Hipervnculo"/>
                <w:rFonts w:ascii="Century Gothic" w:hAnsi="Century Gothic"/>
                <w:b w:val="0"/>
                <w:noProof/>
                <w:color w:val="595959" w:themeColor="text1" w:themeTint="A6"/>
                <w:sz w:val="24"/>
              </w:rPr>
              <w:t>1.5</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Limitaciones del estudio</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_Toc53757428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25</w:t>
            </w:r>
            <w:r w:rsidR="00492810" w:rsidRPr="00443329">
              <w:rPr>
                <w:rFonts w:ascii="Century Gothic" w:hAnsi="Century Gothic"/>
                <w:b w:val="0"/>
                <w:noProof/>
                <w:webHidden/>
                <w:color w:val="595959" w:themeColor="text1" w:themeTint="A6"/>
                <w:sz w:val="24"/>
              </w:rPr>
              <w:fldChar w:fldCharType="end"/>
            </w:r>
          </w:hyperlink>
        </w:p>
        <w:p w14:paraId="1939D599" w14:textId="3EE1D51E" w:rsidR="00492810" w:rsidRPr="00443329" w:rsidRDefault="007D4D27" w:rsidP="00492810">
          <w:pPr>
            <w:pStyle w:val="TDC2"/>
            <w:rPr>
              <w:rFonts w:ascii="Century Gothic" w:hAnsi="Century Gothic"/>
              <w:b w:val="0"/>
              <w:smallCaps w:val="0"/>
              <w:noProof/>
              <w:color w:val="595959" w:themeColor="text1" w:themeTint="A6"/>
              <w:sz w:val="24"/>
            </w:rPr>
          </w:pPr>
          <w:hyperlink w:anchor="_Toc53757429" w:history="1">
            <w:r w:rsidR="00492810" w:rsidRPr="00443329">
              <w:rPr>
                <w:rStyle w:val="Hipervnculo"/>
                <w:rFonts w:ascii="Century Gothic" w:hAnsi="Century Gothic"/>
                <w:b w:val="0"/>
                <w:noProof/>
                <w:color w:val="595959" w:themeColor="text1" w:themeTint="A6"/>
                <w:sz w:val="24"/>
              </w:rPr>
              <w:t>1.6</w:t>
            </w:r>
            <w:r w:rsidR="00492810" w:rsidRPr="00443329">
              <w:rPr>
                <w:rFonts w:ascii="Century Gothic" w:hAnsi="Century Gothic"/>
                <w:b w:val="0"/>
                <w:smallCaps w:val="0"/>
                <w:noProof/>
                <w:color w:val="595959" w:themeColor="text1" w:themeTint="A6"/>
                <w:sz w:val="24"/>
              </w:rPr>
              <w:tab/>
            </w:r>
            <w:r w:rsidR="00492810" w:rsidRPr="00443329">
              <w:rPr>
                <w:rStyle w:val="Hipervnculo"/>
                <w:rFonts w:ascii="Century Gothic" w:hAnsi="Century Gothic"/>
                <w:b w:val="0"/>
                <w:noProof/>
                <w:color w:val="595959" w:themeColor="text1" w:themeTint="A6"/>
                <w:sz w:val="24"/>
              </w:rPr>
              <w:t>Cronograma de ejecución de la operación estadística</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_Toc53757429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25</w:t>
            </w:r>
            <w:r w:rsidR="00492810" w:rsidRPr="00443329">
              <w:rPr>
                <w:rFonts w:ascii="Century Gothic" w:hAnsi="Century Gothic"/>
                <w:b w:val="0"/>
                <w:noProof/>
                <w:webHidden/>
                <w:color w:val="595959" w:themeColor="text1" w:themeTint="A6"/>
                <w:sz w:val="24"/>
              </w:rPr>
              <w:fldChar w:fldCharType="end"/>
            </w:r>
          </w:hyperlink>
        </w:p>
        <w:p w14:paraId="5AC40E45" w14:textId="3429E58B" w:rsidR="00492810" w:rsidRPr="00443329" w:rsidRDefault="007D4D27" w:rsidP="00492810">
          <w:pPr>
            <w:pStyle w:val="TDC1"/>
            <w:rPr>
              <w:rFonts w:ascii="Century Gothic" w:hAnsi="Century Gothic"/>
              <w:b w:val="0"/>
              <w:noProof/>
              <w:color w:val="595959" w:themeColor="text1" w:themeTint="A6"/>
            </w:rPr>
          </w:pPr>
          <w:hyperlink w:anchor="_Toc53757430" w:history="1">
            <w:r w:rsidR="00492810" w:rsidRPr="00443329">
              <w:rPr>
                <w:rStyle w:val="Hipervnculo"/>
                <w:rFonts w:ascii="Century Gothic" w:hAnsi="Century Gothic"/>
                <w:b w:val="0"/>
                <w:noProof/>
                <w:color w:val="595959" w:themeColor="text1" w:themeTint="A6"/>
              </w:rPr>
              <w:t>2 DISEÑO Y CONSTRUCCIÓN</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_Toc53757430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26</w:t>
            </w:r>
            <w:r w:rsidR="00492810" w:rsidRPr="00443329">
              <w:rPr>
                <w:rFonts w:ascii="Century Gothic" w:hAnsi="Century Gothic"/>
                <w:b w:val="0"/>
                <w:noProof/>
                <w:webHidden/>
                <w:color w:val="595959" w:themeColor="text1" w:themeTint="A6"/>
              </w:rPr>
              <w:fldChar w:fldCharType="end"/>
            </w:r>
          </w:hyperlink>
        </w:p>
        <w:p w14:paraId="2E64560B" w14:textId="0E806B33" w:rsidR="00492810" w:rsidRPr="00443329" w:rsidRDefault="007D4D27" w:rsidP="00492810">
          <w:pPr>
            <w:pStyle w:val="TDC2"/>
            <w:rPr>
              <w:rFonts w:ascii="Century Gothic" w:hAnsi="Century Gothic"/>
              <w:b w:val="0"/>
              <w:smallCaps w:val="0"/>
              <w:noProof/>
              <w:color w:val="595959" w:themeColor="text1" w:themeTint="A6"/>
              <w:sz w:val="24"/>
            </w:rPr>
          </w:pPr>
          <w:hyperlink w:anchor="_Toc53757431" w:history="1">
            <w:r w:rsidR="00492810" w:rsidRPr="00443329">
              <w:rPr>
                <w:rStyle w:val="Hipervnculo"/>
                <w:rFonts w:ascii="Century Gothic" w:hAnsi="Century Gothic"/>
                <w:b w:val="0"/>
                <w:noProof/>
                <w:color w:val="595959" w:themeColor="text1" w:themeTint="A6"/>
                <w:sz w:val="24"/>
              </w:rPr>
              <w:t>2.1 Productos estadísticos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_Toc53757431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26</w:t>
            </w:r>
            <w:r w:rsidR="00492810" w:rsidRPr="00443329">
              <w:rPr>
                <w:rFonts w:ascii="Century Gothic" w:hAnsi="Century Gothic"/>
                <w:b w:val="0"/>
                <w:noProof/>
                <w:webHidden/>
                <w:color w:val="595959" w:themeColor="text1" w:themeTint="A6"/>
                <w:sz w:val="24"/>
              </w:rPr>
              <w:fldChar w:fldCharType="end"/>
            </w:r>
          </w:hyperlink>
        </w:p>
        <w:p w14:paraId="5A45A9D4" w14:textId="5D2279C1"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35" w:history="1">
            <w:r w:rsidR="00492810" w:rsidRPr="00443329">
              <w:rPr>
                <w:rStyle w:val="Hipervnculo"/>
                <w:rFonts w:ascii="Century Gothic" w:hAnsi="Century Gothic"/>
                <w:noProof/>
                <w:color w:val="595959" w:themeColor="text1" w:themeTint="A6"/>
                <w:sz w:val="24"/>
              </w:rPr>
              <w:t>2.1.1 Variables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_Toc53757435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26</w:t>
            </w:r>
            <w:r w:rsidR="00492810" w:rsidRPr="00443329">
              <w:rPr>
                <w:rFonts w:ascii="Century Gothic" w:hAnsi="Century Gothic"/>
                <w:noProof/>
                <w:webHidden/>
                <w:color w:val="595959" w:themeColor="text1" w:themeTint="A6"/>
                <w:sz w:val="24"/>
              </w:rPr>
              <w:fldChar w:fldCharType="end"/>
            </w:r>
          </w:hyperlink>
        </w:p>
        <w:p w14:paraId="3D910EF2" w14:textId="76BB26A4"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36" w:history="1">
            <w:r w:rsidR="00492810" w:rsidRPr="00443329">
              <w:rPr>
                <w:rStyle w:val="Hipervnculo"/>
                <w:rFonts w:ascii="Century Gothic" w:hAnsi="Century Gothic"/>
                <w:noProof/>
                <w:color w:val="595959" w:themeColor="text1" w:themeTint="A6"/>
                <w:sz w:val="24"/>
              </w:rPr>
              <w:t>2.1.2 Variables y unidades derivadas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_Toc53757436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26</w:t>
            </w:r>
            <w:r w:rsidR="00492810" w:rsidRPr="00443329">
              <w:rPr>
                <w:rFonts w:ascii="Century Gothic" w:hAnsi="Century Gothic"/>
                <w:noProof/>
                <w:webHidden/>
                <w:color w:val="595959" w:themeColor="text1" w:themeTint="A6"/>
                <w:sz w:val="24"/>
              </w:rPr>
              <w:fldChar w:fldCharType="end"/>
            </w:r>
          </w:hyperlink>
        </w:p>
        <w:p w14:paraId="00F72718" w14:textId="331172CB"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37" w:history="1">
            <w:r w:rsidR="00492810" w:rsidRPr="00443329">
              <w:rPr>
                <w:rStyle w:val="Hipervnculo"/>
                <w:rFonts w:ascii="Century Gothic" w:hAnsi="Century Gothic"/>
                <w:noProof/>
                <w:color w:val="595959" w:themeColor="text1" w:themeTint="A6"/>
                <w:sz w:val="24"/>
              </w:rPr>
              <w:t>2.1.3 Indicadores.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_Toc53757437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27</w:t>
            </w:r>
            <w:r w:rsidR="00492810" w:rsidRPr="00443329">
              <w:rPr>
                <w:rFonts w:ascii="Century Gothic" w:hAnsi="Century Gothic"/>
                <w:noProof/>
                <w:webHidden/>
                <w:color w:val="595959" w:themeColor="text1" w:themeTint="A6"/>
                <w:sz w:val="24"/>
              </w:rPr>
              <w:fldChar w:fldCharType="end"/>
            </w:r>
          </w:hyperlink>
        </w:p>
        <w:p w14:paraId="24A37AA5" w14:textId="4C082A0B" w:rsidR="00492810" w:rsidRPr="00443329" w:rsidRDefault="007D4D27" w:rsidP="00492810">
          <w:pPr>
            <w:pStyle w:val="TDC3"/>
            <w:tabs>
              <w:tab w:val="right" w:leader="dot" w:pos="9017"/>
            </w:tabs>
            <w:rPr>
              <w:rFonts w:ascii="Century Gothic" w:hAnsi="Century Gothic"/>
              <w:i w:val="0"/>
              <w:noProof/>
              <w:color w:val="595959" w:themeColor="text1" w:themeTint="A6"/>
              <w:sz w:val="24"/>
            </w:rPr>
          </w:pPr>
          <w:hyperlink w:anchor="_Toc53757438" w:history="1">
            <w:r w:rsidR="00492810" w:rsidRPr="00443329">
              <w:rPr>
                <w:rStyle w:val="Hipervnculo"/>
                <w:rFonts w:ascii="Century Gothic" w:hAnsi="Century Gothic"/>
                <w:noProof/>
                <w:color w:val="595959" w:themeColor="text1" w:themeTint="A6"/>
                <w:sz w:val="24"/>
              </w:rPr>
              <w:t>2.1.4 Tabulados</w:t>
            </w:r>
            <w:r w:rsidR="00492810" w:rsidRPr="00443329">
              <w:rPr>
                <w:rFonts w:ascii="Century Gothic" w:hAnsi="Century Gothic"/>
                <w:noProof/>
                <w:webHidden/>
                <w:color w:val="595959" w:themeColor="text1" w:themeTint="A6"/>
                <w:sz w:val="24"/>
              </w:rPr>
              <w:tab/>
            </w:r>
            <w:r w:rsidR="00492810" w:rsidRPr="00443329">
              <w:rPr>
                <w:rFonts w:ascii="Century Gothic" w:hAnsi="Century Gothic"/>
                <w:noProof/>
                <w:webHidden/>
                <w:color w:val="595959" w:themeColor="text1" w:themeTint="A6"/>
                <w:sz w:val="24"/>
              </w:rPr>
              <w:fldChar w:fldCharType="begin"/>
            </w:r>
            <w:r w:rsidR="00492810" w:rsidRPr="00736A29">
              <w:rPr>
                <w:rFonts w:ascii="Century Gothic" w:hAnsi="Century Gothic"/>
                <w:noProof/>
                <w:webHidden/>
                <w:color w:val="595959" w:themeColor="text1" w:themeTint="A6"/>
                <w:sz w:val="24"/>
                <w:szCs w:val="24"/>
              </w:rPr>
              <w:instrText xml:space="preserve"> PAGEREF _Toc53757438 \h </w:instrText>
            </w:r>
            <w:r w:rsidR="00492810" w:rsidRPr="00443329">
              <w:rPr>
                <w:rFonts w:ascii="Century Gothic" w:hAnsi="Century Gothic"/>
                <w:noProof/>
                <w:webHidden/>
                <w:color w:val="595959" w:themeColor="text1" w:themeTint="A6"/>
                <w:sz w:val="24"/>
              </w:rPr>
            </w:r>
            <w:r w:rsidR="00492810" w:rsidRPr="00443329">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szCs w:val="24"/>
              </w:rPr>
              <w:t>32</w:t>
            </w:r>
            <w:r w:rsidR="00492810" w:rsidRPr="00443329">
              <w:rPr>
                <w:rFonts w:ascii="Century Gothic" w:hAnsi="Century Gothic"/>
                <w:noProof/>
                <w:webHidden/>
                <w:color w:val="595959" w:themeColor="text1" w:themeTint="A6"/>
                <w:sz w:val="24"/>
              </w:rPr>
              <w:fldChar w:fldCharType="end"/>
            </w:r>
          </w:hyperlink>
        </w:p>
        <w:p w14:paraId="2EA4C4E4" w14:textId="60076CEC" w:rsidR="00492810" w:rsidRPr="00443329" w:rsidRDefault="007D4D27" w:rsidP="00492810">
          <w:pPr>
            <w:pStyle w:val="TDC2"/>
            <w:rPr>
              <w:rFonts w:ascii="Century Gothic" w:hAnsi="Century Gothic"/>
              <w:b w:val="0"/>
              <w:smallCaps w:val="0"/>
              <w:noProof/>
              <w:color w:val="595959" w:themeColor="text1" w:themeTint="A6"/>
              <w:sz w:val="24"/>
            </w:rPr>
          </w:pPr>
          <w:hyperlink w:anchor="_Toc53757439" w:history="1">
            <w:r w:rsidR="00492810" w:rsidRPr="00443329">
              <w:rPr>
                <w:rStyle w:val="Hipervnculo"/>
                <w:rFonts w:ascii="Century Gothic" w:hAnsi="Century Gothic"/>
                <w:b w:val="0"/>
                <w:noProof/>
                <w:color w:val="595959" w:themeColor="text1" w:themeTint="A6"/>
                <w:sz w:val="24"/>
              </w:rPr>
              <w:t>2.2 Diseño y construcción de la recolección/captación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_Toc53757439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33</w:t>
            </w:r>
            <w:r w:rsidR="00492810" w:rsidRPr="00443329">
              <w:rPr>
                <w:rFonts w:ascii="Century Gothic" w:hAnsi="Century Gothic"/>
                <w:b w:val="0"/>
                <w:noProof/>
                <w:webHidden/>
                <w:color w:val="595959" w:themeColor="text1" w:themeTint="A6"/>
                <w:sz w:val="24"/>
              </w:rPr>
              <w:fldChar w:fldCharType="end"/>
            </w:r>
          </w:hyperlink>
        </w:p>
        <w:p w14:paraId="02221F9C" w14:textId="6D701946"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0" w:history="1">
            <w:r w:rsidR="00492810" w:rsidRPr="00443329">
              <w:rPr>
                <w:rStyle w:val="Hipervnculo"/>
                <w:rFonts w:ascii="Century Gothic" w:hAnsi="Century Gothic"/>
                <w:b w:val="0"/>
                <w:noProof/>
                <w:color w:val="595959" w:themeColor="text1" w:themeTint="A6"/>
                <w:sz w:val="24"/>
              </w:rPr>
              <w:t>2.3 Diseño y configuración de sistema de producción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_Toc53757440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40</w:t>
            </w:r>
            <w:r w:rsidR="00492810" w:rsidRPr="00443329">
              <w:rPr>
                <w:rFonts w:ascii="Century Gothic" w:hAnsi="Century Gothic"/>
                <w:b w:val="0"/>
                <w:noProof/>
                <w:webHidden/>
                <w:color w:val="595959" w:themeColor="text1" w:themeTint="A6"/>
                <w:sz w:val="24"/>
              </w:rPr>
              <w:fldChar w:fldCharType="end"/>
            </w:r>
          </w:hyperlink>
        </w:p>
        <w:p w14:paraId="7223450D" w14:textId="039D6DD0" w:rsidR="00492810" w:rsidRPr="00443329" w:rsidRDefault="007D4D27" w:rsidP="00492810">
          <w:pPr>
            <w:pStyle w:val="TDC1"/>
            <w:rPr>
              <w:rFonts w:ascii="Century Gothic" w:hAnsi="Century Gothic"/>
              <w:b w:val="0"/>
              <w:noProof/>
              <w:color w:val="595959" w:themeColor="text1" w:themeTint="A6"/>
            </w:rPr>
          </w:pPr>
          <w:hyperlink w:anchor="_Toc53757441" w:history="1">
            <w:r w:rsidR="00492810" w:rsidRPr="00443329">
              <w:rPr>
                <w:rStyle w:val="Hipervnculo"/>
                <w:rFonts w:ascii="Century Gothic" w:hAnsi="Century Gothic"/>
                <w:b w:val="0"/>
                <w:noProof/>
                <w:color w:val="595959" w:themeColor="text1" w:themeTint="A6"/>
              </w:rPr>
              <w:t>3 CAPTACIÓN</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_Toc53757441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43</w:t>
            </w:r>
            <w:r w:rsidR="00492810" w:rsidRPr="00443329">
              <w:rPr>
                <w:rFonts w:ascii="Century Gothic" w:hAnsi="Century Gothic"/>
                <w:b w:val="0"/>
                <w:noProof/>
                <w:webHidden/>
                <w:color w:val="595959" w:themeColor="text1" w:themeTint="A6"/>
              </w:rPr>
              <w:fldChar w:fldCharType="end"/>
            </w:r>
          </w:hyperlink>
        </w:p>
        <w:p w14:paraId="4E1CEDB6" w14:textId="588E8855"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2" w:history="1">
            <w:r w:rsidR="00492810" w:rsidRPr="00443329">
              <w:rPr>
                <w:rStyle w:val="Hipervnculo"/>
                <w:rFonts w:ascii="Century Gothic" w:hAnsi="Century Gothic"/>
                <w:b w:val="0"/>
                <w:noProof/>
                <w:color w:val="595959" w:themeColor="text1" w:themeTint="A6"/>
                <w:sz w:val="24"/>
              </w:rPr>
              <w:t>3.1 Planificación de la captación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_Toc53757442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43</w:t>
            </w:r>
            <w:r w:rsidR="00492810" w:rsidRPr="00443329">
              <w:rPr>
                <w:rFonts w:ascii="Century Gothic" w:hAnsi="Century Gothic"/>
                <w:b w:val="0"/>
                <w:noProof/>
                <w:webHidden/>
                <w:color w:val="595959" w:themeColor="text1" w:themeTint="A6"/>
                <w:sz w:val="24"/>
              </w:rPr>
              <w:fldChar w:fldCharType="end"/>
            </w:r>
          </w:hyperlink>
        </w:p>
        <w:p w14:paraId="46D83A28" w14:textId="6E51CE7F" w:rsidR="00492810" w:rsidRPr="00443329" w:rsidRDefault="007D4D27" w:rsidP="00492810">
          <w:pPr>
            <w:pStyle w:val="TDC1"/>
            <w:rPr>
              <w:rFonts w:ascii="Century Gothic" w:hAnsi="Century Gothic"/>
              <w:b w:val="0"/>
              <w:noProof/>
              <w:color w:val="595959" w:themeColor="text1" w:themeTint="A6"/>
            </w:rPr>
          </w:pPr>
          <w:hyperlink w:anchor="_Toc53757443" w:history="1">
            <w:r w:rsidR="00492810" w:rsidRPr="00443329">
              <w:rPr>
                <w:rStyle w:val="Hipervnculo"/>
                <w:rFonts w:ascii="Century Gothic" w:hAnsi="Century Gothic"/>
                <w:b w:val="0"/>
                <w:noProof/>
                <w:color w:val="595959" w:themeColor="text1" w:themeTint="A6"/>
              </w:rPr>
              <w:t>4 PROCESAMIENTO</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_Toc53757443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44</w:t>
            </w:r>
            <w:r w:rsidR="00492810" w:rsidRPr="00443329">
              <w:rPr>
                <w:rFonts w:ascii="Century Gothic" w:hAnsi="Century Gothic"/>
                <w:b w:val="0"/>
                <w:noProof/>
                <w:webHidden/>
                <w:color w:val="595959" w:themeColor="text1" w:themeTint="A6"/>
              </w:rPr>
              <w:fldChar w:fldCharType="end"/>
            </w:r>
          </w:hyperlink>
        </w:p>
        <w:p w14:paraId="703BDE9B" w14:textId="45CAFD8D"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4" w:history="1">
            <w:r w:rsidR="00492810" w:rsidRPr="00443329">
              <w:rPr>
                <w:rStyle w:val="Hipervnculo"/>
                <w:rFonts w:ascii="Century Gothic" w:hAnsi="Century Gothic"/>
                <w:b w:val="0"/>
                <w:noProof/>
                <w:color w:val="595959" w:themeColor="text1" w:themeTint="A6"/>
                <w:sz w:val="24"/>
              </w:rPr>
              <w:t>4.1 Crítica e integración de la base de datos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_Toc53757444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45</w:t>
            </w:r>
            <w:r w:rsidR="00492810" w:rsidRPr="00443329">
              <w:rPr>
                <w:rFonts w:ascii="Century Gothic" w:hAnsi="Century Gothic"/>
                <w:b w:val="0"/>
                <w:noProof/>
                <w:webHidden/>
                <w:color w:val="595959" w:themeColor="text1" w:themeTint="A6"/>
                <w:sz w:val="24"/>
              </w:rPr>
              <w:fldChar w:fldCharType="end"/>
            </w:r>
          </w:hyperlink>
        </w:p>
        <w:p w14:paraId="43D7C47D" w14:textId="5C07FDB1"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5" w:history="1">
            <w:r w:rsidR="00492810" w:rsidRPr="00443329">
              <w:rPr>
                <w:rStyle w:val="Hipervnculo"/>
                <w:rFonts w:ascii="Century Gothic" w:hAnsi="Century Gothic"/>
                <w:b w:val="0"/>
                <w:noProof/>
                <w:color w:val="595959" w:themeColor="text1" w:themeTint="A6"/>
                <w:sz w:val="24"/>
              </w:rPr>
              <w:t>4.2 Clasificaciones y/o codificaciones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_Toc53757445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46</w:t>
            </w:r>
            <w:r w:rsidR="00492810" w:rsidRPr="00443329">
              <w:rPr>
                <w:rFonts w:ascii="Century Gothic" w:hAnsi="Century Gothic"/>
                <w:b w:val="0"/>
                <w:noProof/>
                <w:webHidden/>
                <w:color w:val="595959" w:themeColor="text1" w:themeTint="A6"/>
                <w:sz w:val="24"/>
              </w:rPr>
              <w:fldChar w:fldCharType="end"/>
            </w:r>
          </w:hyperlink>
        </w:p>
        <w:p w14:paraId="4799C3B4" w14:textId="7C3FE43B"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6" w:history="1">
            <w:r w:rsidR="00492810" w:rsidRPr="00443329">
              <w:rPr>
                <w:rStyle w:val="Hipervnculo"/>
                <w:rFonts w:ascii="Century Gothic" w:hAnsi="Century Gothic"/>
                <w:b w:val="0"/>
                <w:noProof/>
                <w:color w:val="595959" w:themeColor="text1" w:themeTint="A6"/>
                <w:sz w:val="24"/>
              </w:rPr>
              <w:t>4.3 Validación e imputación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_Toc53757446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46</w:t>
            </w:r>
            <w:r w:rsidR="00492810" w:rsidRPr="00443329">
              <w:rPr>
                <w:rFonts w:ascii="Century Gothic" w:hAnsi="Century Gothic"/>
                <w:b w:val="0"/>
                <w:noProof/>
                <w:webHidden/>
                <w:color w:val="595959" w:themeColor="text1" w:themeTint="A6"/>
                <w:sz w:val="24"/>
              </w:rPr>
              <w:fldChar w:fldCharType="end"/>
            </w:r>
          </w:hyperlink>
        </w:p>
        <w:p w14:paraId="70F5B77D" w14:textId="18D1F806" w:rsidR="00492810" w:rsidRPr="00443329" w:rsidRDefault="007D4D27" w:rsidP="00492810">
          <w:pPr>
            <w:pStyle w:val="TDC1"/>
            <w:rPr>
              <w:rFonts w:ascii="Century Gothic" w:hAnsi="Century Gothic"/>
              <w:b w:val="0"/>
              <w:noProof/>
              <w:color w:val="595959" w:themeColor="text1" w:themeTint="A6"/>
            </w:rPr>
          </w:pPr>
          <w:hyperlink w:anchor="_Toc53757447" w:history="1">
            <w:r w:rsidR="00492810" w:rsidRPr="00443329">
              <w:rPr>
                <w:rStyle w:val="Hipervnculo"/>
                <w:rFonts w:ascii="Century Gothic" w:hAnsi="Century Gothic"/>
                <w:b w:val="0"/>
                <w:noProof/>
                <w:color w:val="595959" w:themeColor="text1" w:themeTint="A6"/>
              </w:rPr>
              <w:t>5 ANÁLISIS</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_Toc53757447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49</w:t>
            </w:r>
            <w:r w:rsidR="00492810" w:rsidRPr="00443329">
              <w:rPr>
                <w:rFonts w:ascii="Century Gothic" w:hAnsi="Century Gothic"/>
                <w:b w:val="0"/>
                <w:noProof/>
                <w:webHidden/>
                <w:color w:val="595959" w:themeColor="text1" w:themeTint="A6"/>
              </w:rPr>
              <w:fldChar w:fldCharType="end"/>
            </w:r>
          </w:hyperlink>
        </w:p>
        <w:p w14:paraId="1D8D3438" w14:textId="01694BE4"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8" w:history="1">
            <w:r w:rsidR="00492810" w:rsidRPr="00443329">
              <w:rPr>
                <w:rStyle w:val="Hipervnculo"/>
                <w:rFonts w:ascii="Century Gothic" w:hAnsi="Century Gothic"/>
                <w:b w:val="0"/>
                <w:noProof/>
                <w:color w:val="595959" w:themeColor="text1" w:themeTint="A6"/>
                <w:sz w:val="24"/>
              </w:rPr>
              <w:t>5.1 Evaluar resultados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_Toc53757448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49</w:t>
            </w:r>
            <w:r w:rsidR="00492810" w:rsidRPr="00443329">
              <w:rPr>
                <w:rFonts w:ascii="Century Gothic" w:hAnsi="Century Gothic"/>
                <w:b w:val="0"/>
                <w:noProof/>
                <w:webHidden/>
                <w:color w:val="595959" w:themeColor="text1" w:themeTint="A6"/>
                <w:sz w:val="24"/>
              </w:rPr>
              <w:fldChar w:fldCharType="end"/>
            </w:r>
          </w:hyperlink>
        </w:p>
        <w:p w14:paraId="4D18FAEB" w14:textId="09F83B3A" w:rsidR="00492810" w:rsidRPr="00443329" w:rsidRDefault="007D4D27" w:rsidP="00492810">
          <w:pPr>
            <w:pStyle w:val="TDC2"/>
            <w:rPr>
              <w:rFonts w:ascii="Century Gothic" w:hAnsi="Century Gothic"/>
              <w:b w:val="0"/>
              <w:smallCaps w:val="0"/>
              <w:noProof/>
              <w:color w:val="595959" w:themeColor="text1" w:themeTint="A6"/>
              <w:sz w:val="24"/>
            </w:rPr>
          </w:pPr>
          <w:hyperlink w:anchor="_Toc53757449" w:history="1">
            <w:r w:rsidR="00492810" w:rsidRPr="00443329">
              <w:rPr>
                <w:rStyle w:val="Hipervnculo"/>
                <w:rFonts w:ascii="Century Gothic" w:hAnsi="Century Gothic"/>
                <w:b w:val="0"/>
                <w:noProof/>
                <w:color w:val="595959" w:themeColor="text1" w:themeTint="A6"/>
                <w:sz w:val="24"/>
              </w:rPr>
              <w:t>5.2 Interpretar y explicar los resultados</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_Toc53757449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49</w:t>
            </w:r>
            <w:r w:rsidR="00492810" w:rsidRPr="00443329">
              <w:rPr>
                <w:rFonts w:ascii="Century Gothic" w:hAnsi="Century Gothic"/>
                <w:b w:val="0"/>
                <w:noProof/>
                <w:webHidden/>
                <w:color w:val="595959" w:themeColor="text1" w:themeTint="A6"/>
                <w:sz w:val="24"/>
              </w:rPr>
              <w:fldChar w:fldCharType="end"/>
            </w:r>
          </w:hyperlink>
        </w:p>
        <w:p w14:paraId="525EFA83" w14:textId="5A5B34FC"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0" w:history="1">
            <w:r w:rsidR="00492810" w:rsidRPr="00443329">
              <w:rPr>
                <w:rStyle w:val="Hipervnculo"/>
                <w:rFonts w:ascii="Century Gothic" w:hAnsi="Century Gothic"/>
                <w:b w:val="0"/>
                <w:noProof/>
                <w:color w:val="595959" w:themeColor="text1" w:themeTint="A6"/>
                <w:sz w:val="24"/>
              </w:rPr>
              <w:t>5.3 Aplicar el control de difusión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_Toc53757450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50</w:t>
            </w:r>
            <w:r w:rsidR="00492810" w:rsidRPr="00443329">
              <w:rPr>
                <w:rFonts w:ascii="Century Gothic" w:hAnsi="Century Gothic"/>
                <w:b w:val="0"/>
                <w:noProof/>
                <w:webHidden/>
                <w:color w:val="595959" w:themeColor="text1" w:themeTint="A6"/>
                <w:sz w:val="24"/>
              </w:rPr>
              <w:fldChar w:fldCharType="end"/>
            </w:r>
          </w:hyperlink>
        </w:p>
        <w:p w14:paraId="20BD5812" w14:textId="4AEA1D92" w:rsidR="00492810" w:rsidRPr="00443329" w:rsidRDefault="007D4D27" w:rsidP="00492810">
          <w:pPr>
            <w:pStyle w:val="TDC1"/>
            <w:rPr>
              <w:rFonts w:ascii="Century Gothic" w:hAnsi="Century Gothic"/>
              <w:b w:val="0"/>
              <w:noProof/>
              <w:color w:val="595959" w:themeColor="text1" w:themeTint="A6"/>
            </w:rPr>
          </w:pPr>
          <w:hyperlink w:anchor="_Toc53757451" w:history="1">
            <w:r w:rsidR="00492810" w:rsidRPr="00443329">
              <w:rPr>
                <w:rStyle w:val="Hipervnculo"/>
                <w:rFonts w:ascii="Century Gothic" w:hAnsi="Century Gothic"/>
                <w:b w:val="0"/>
                <w:noProof/>
                <w:color w:val="595959" w:themeColor="text1" w:themeTint="A6"/>
              </w:rPr>
              <w:t>6 DIFUSIÓN</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_Toc53757451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50</w:t>
            </w:r>
            <w:r w:rsidR="00492810" w:rsidRPr="00443329">
              <w:rPr>
                <w:rFonts w:ascii="Century Gothic" w:hAnsi="Century Gothic"/>
                <w:b w:val="0"/>
                <w:noProof/>
                <w:webHidden/>
                <w:color w:val="595959" w:themeColor="text1" w:themeTint="A6"/>
              </w:rPr>
              <w:fldChar w:fldCharType="end"/>
            </w:r>
          </w:hyperlink>
        </w:p>
        <w:p w14:paraId="1AE87445" w14:textId="2981BEC8"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2" w:history="1">
            <w:r w:rsidR="00492810" w:rsidRPr="00443329">
              <w:rPr>
                <w:rStyle w:val="Hipervnculo"/>
                <w:rFonts w:ascii="Century Gothic" w:hAnsi="Century Gothic"/>
                <w:b w:val="0"/>
                <w:noProof/>
                <w:color w:val="595959" w:themeColor="text1" w:themeTint="A6"/>
                <w:sz w:val="24"/>
              </w:rPr>
              <w:t>6.1 Productos de difusión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_Toc53757452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50</w:t>
            </w:r>
            <w:r w:rsidR="00492810" w:rsidRPr="00443329">
              <w:rPr>
                <w:rFonts w:ascii="Century Gothic" w:hAnsi="Century Gothic"/>
                <w:b w:val="0"/>
                <w:noProof/>
                <w:webHidden/>
                <w:color w:val="595959" w:themeColor="text1" w:themeTint="A6"/>
                <w:sz w:val="24"/>
              </w:rPr>
              <w:fldChar w:fldCharType="end"/>
            </w:r>
          </w:hyperlink>
        </w:p>
        <w:p w14:paraId="62C14AB7" w14:textId="1E29C4DA"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3" w:history="1">
            <w:r w:rsidR="00492810" w:rsidRPr="00443329">
              <w:rPr>
                <w:rStyle w:val="Hipervnculo"/>
                <w:rFonts w:ascii="Century Gothic" w:hAnsi="Century Gothic"/>
                <w:b w:val="0"/>
                <w:noProof/>
                <w:color w:val="595959" w:themeColor="text1" w:themeTint="A6"/>
                <w:sz w:val="24"/>
              </w:rPr>
              <w:t>6.2 Gestión de la comunicación de los productos de difusión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_Toc53757453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52</w:t>
            </w:r>
            <w:r w:rsidR="00492810" w:rsidRPr="00443329">
              <w:rPr>
                <w:rFonts w:ascii="Century Gothic" w:hAnsi="Century Gothic"/>
                <w:b w:val="0"/>
                <w:noProof/>
                <w:webHidden/>
                <w:color w:val="595959" w:themeColor="text1" w:themeTint="A6"/>
                <w:sz w:val="24"/>
              </w:rPr>
              <w:fldChar w:fldCharType="end"/>
            </w:r>
          </w:hyperlink>
        </w:p>
        <w:p w14:paraId="2C5C2B8B" w14:textId="14A06C0E"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4" w:history="1">
            <w:r w:rsidR="00492810" w:rsidRPr="00443329">
              <w:rPr>
                <w:rStyle w:val="Hipervnculo"/>
                <w:rFonts w:ascii="Century Gothic" w:hAnsi="Century Gothic"/>
                <w:b w:val="0"/>
                <w:noProof/>
                <w:color w:val="595959" w:themeColor="text1" w:themeTint="A6"/>
                <w:sz w:val="24"/>
              </w:rPr>
              <w:t>6.3 Promoción de los productos de difusión</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_Toc53757454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52</w:t>
            </w:r>
            <w:r w:rsidR="00492810" w:rsidRPr="00443329">
              <w:rPr>
                <w:rFonts w:ascii="Century Gothic" w:hAnsi="Century Gothic"/>
                <w:b w:val="0"/>
                <w:noProof/>
                <w:webHidden/>
                <w:color w:val="595959" w:themeColor="text1" w:themeTint="A6"/>
                <w:sz w:val="24"/>
              </w:rPr>
              <w:fldChar w:fldCharType="end"/>
            </w:r>
          </w:hyperlink>
        </w:p>
        <w:p w14:paraId="66FF3DE6" w14:textId="1049BD6C"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5" w:history="1">
            <w:r w:rsidR="00492810" w:rsidRPr="00443329">
              <w:rPr>
                <w:rStyle w:val="Hipervnculo"/>
                <w:rFonts w:ascii="Century Gothic" w:hAnsi="Century Gothic"/>
                <w:b w:val="0"/>
                <w:noProof/>
                <w:color w:val="595959" w:themeColor="text1" w:themeTint="A6"/>
                <w:sz w:val="24"/>
              </w:rPr>
              <w:t>6.4 Administrar el soporte al usuario</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_Toc53757455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52</w:t>
            </w:r>
            <w:r w:rsidR="00492810" w:rsidRPr="00443329">
              <w:rPr>
                <w:rFonts w:ascii="Century Gothic" w:hAnsi="Century Gothic"/>
                <w:b w:val="0"/>
                <w:noProof/>
                <w:webHidden/>
                <w:color w:val="595959" w:themeColor="text1" w:themeTint="A6"/>
                <w:sz w:val="24"/>
              </w:rPr>
              <w:fldChar w:fldCharType="end"/>
            </w:r>
          </w:hyperlink>
        </w:p>
        <w:p w14:paraId="68F6888E" w14:textId="4EFEED25" w:rsidR="00492810" w:rsidRPr="00443329" w:rsidRDefault="007D4D27" w:rsidP="00492810">
          <w:pPr>
            <w:pStyle w:val="TDC1"/>
            <w:rPr>
              <w:rFonts w:ascii="Century Gothic" w:hAnsi="Century Gothic"/>
              <w:b w:val="0"/>
              <w:noProof/>
              <w:color w:val="595959" w:themeColor="text1" w:themeTint="A6"/>
            </w:rPr>
          </w:pPr>
          <w:hyperlink w:anchor="_Toc53757456" w:history="1">
            <w:r w:rsidR="00492810" w:rsidRPr="00443329">
              <w:rPr>
                <w:rStyle w:val="Hipervnculo"/>
                <w:rFonts w:ascii="Century Gothic" w:hAnsi="Century Gothic"/>
                <w:b w:val="0"/>
                <w:noProof/>
                <w:color w:val="595959" w:themeColor="text1" w:themeTint="A6"/>
              </w:rPr>
              <w:t>7 EVALUACIÓN</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_Toc53757456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53</w:t>
            </w:r>
            <w:r w:rsidR="00492810" w:rsidRPr="00443329">
              <w:rPr>
                <w:rFonts w:ascii="Century Gothic" w:hAnsi="Century Gothic"/>
                <w:b w:val="0"/>
                <w:noProof/>
                <w:webHidden/>
                <w:color w:val="595959" w:themeColor="text1" w:themeTint="A6"/>
              </w:rPr>
              <w:fldChar w:fldCharType="end"/>
            </w:r>
          </w:hyperlink>
        </w:p>
        <w:p w14:paraId="54E18DEB" w14:textId="2E3E318E" w:rsidR="00492810" w:rsidRPr="00443329" w:rsidRDefault="007D4D27" w:rsidP="00492810">
          <w:pPr>
            <w:pStyle w:val="TDC2"/>
            <w:rPr>
              <w:rFonts w:ascii="Century Gothic" w:hAnsi="Century Gothic"/>
              <w:b w:val="0"/>
              <w:smallCaps w:val="0"/>
              <w:noProof/>
              <w:color w:val="595959" w:themeColor="text1" w:themeTint="A6"/>
              <w:sz w:val="24"/>
            </w:rPr>
          </w:pPr>
          <w:hyperlink w:anchor="_Toc53757457" w:history="1">
            <w:r w:rsidR="00492810" w:rsidRPr="00443329">
              <w:rPr>
                <w:rStyle w:val="Hipervnculo"/>
                <w:rFonts w:ascii="Century Gothic" w:hAnsi="Century Gothic"/>
                <w:b w:val="0"/>
                <w:noProof/>
                <w:color w:val="595959" w:themeColor="text1" w:themeTint="A6"/>
                <w:sz w:val="24"/>
              </w:rPr>
              <w:t>7.1 Indicadores de Calidad</w:t>
            </w:r>
            <w:r w:rsidR="00492810" w:rsidRPr="00443329">
              <w:rPr>
                <w:rFonts w:ascii="Century Gothic" w:hAnsi="Century Gothic"/>
                <w:b w:val="0"/>
                <w:noProof/>
                <w:webHidden/>
                <w:color w:val="595959" w:themeColor="text1" w:themeTint="A6"/>
                <w:sz w:val="24"/>
              </w:rPr>
              <w:tab/>
            </w:r>
            <w:r w:rsidR="00492810" w:rsidRPr="00443329">
              <w:rPr>
                <w:rFonts w:ascii="Century Gothic" w:hAnsi="Century Gothic"/>
                <w:b w:val="0"/>
                <w:noProof/>
                <w:webHidden/>
                <w:color w:val="595959" w:themeColor="text1" w:themeTint="A6"/>
                <w:sz w:val="24"/>
              </w:rPr>
              <w:fldChar w:fldCharType="begin"/>
            </w:r>
            <w:r w:rsidR="00492810" w:rsidRPr="00736A29">
              <w:rPr>
                <w:rFonts w:ascii="Century Gothic" w:hAnsi="Century Gothic"/>
                <w:b w:val="0"/>
                <w:noProof/>
                <w:webHidden/>
                <w:color w:val="595959" w:themeColor="text1" w:themeTint="A6"/>
                <w:sz w:val="24"/>
                <w:szCs w:val="24"/>
              </w:rPr>
              <w:instrText xml:space="preserve"> PAGEREF _Toc53757457 \h </w:instrText>
            </w:r>
            <w:r w:rsidR="00492810" w:rsidRPr="00443329">
              <w:rPr>
                <w:rFonts w:ascii="Century Gothic" w:hAnsi="Century Gothic"/>
                <w:b w:val="0"/>
                <w:noProof/>
                <w:webHidden/>
                <w:color w:val="595959" w:themeColor="text1" w:themeTint="A6"/>
                <w:sz w:val="24"/>
              </w:rPr>
            </w:r>
            <w:r w:rsidR="00492810" w:rsidRPr="00443329">
              <w:rPr>
                <w:rFonts w:ascii="Century Gothic" w:hAnsi="Century Gothic"/>
                <w:b w:val="0"/>
                <w:noProof/>
                <w:webHidden/>
                <w:color w:val="595959" w:themeColor="text1" w:themeTint="A6"/>
                <w:sz w:val="24"/>
              </w:rPr>
              <w:fldChar w:fldCharType="separate"/>
            </w:r>
            <w:r w:rsidR="00C210FA">
              <w:rPr>
                <w:rFonts w:ascii="Century Gothic" w:hAnsi="Century Gothic"/>
                <w:b w:val="0"/>
                <w:noProof/>
                <w:webHidden/>
                <w:color w:val="595959" w:themeColor="text1" w:themeTint="A6"/>
                <w:sz w:val="24"/>
                <w:szCs w:val="24"/>
              </w:rPr>
              <w:t>53</w:t>
            </w:r>
            <w:r w:rsidR="00492810" w:rsidRPr="00443329">
              <w:rPr>
                <w:rFonts w:ascii="Century Gothic" w:hAnsi="Century Gothic"/>
                <w:b w:val="0"/>
                <w:noProof/>
                <w:webHidden/>
                <w:color w:val="595959" w:themeColor="text1" w:themeTint="A6"/>
                <w:sz w:val="24"/>
              </w:rPr>
              <w:fldChar w:fldCharType="end"/>
            </w:r>
          </w:hyperlink>
        </w:p>
        <w:p w14:paraId="6C0E6482" w14:textId="14DA5B32" w:rsidR="00492810" w:rsidRPr="00443329" w:rsidRDefault="007D4D27" w:rsidP="00492810">
          <w:pPr>
            <w:pStyle w:val="TDC1"/>
            <w:rPr>
              <w:rFonts w:ascii="Century Gothic" w:hAnsi="Century Gothic"/>
              <w:b w:val="0"/>
              <w:noProof/>
              <w:color w:val="595959" w:themeColor="text1" w:themeTint="A6"/>
            </w:rPr>
          </w:pPr>
          <w:hyperlink w:anchor="_Toc53757458" w:history="1">
            <w:r w:rsidR="00492810" w:rsidRPr="00443329">
              <w:rPr>
                <w:rStyle w:val="Hipervnculo"/>
                <w:rFonts w:ascii="Century Gothic" w:hAnsi="Century Gothic"/>
                <w:b w:val="0"/>
                <w:noProof/>
                <w:color w:val="595959" w:themeColor="text1" w:themeTint="A6"/>
              </w:rPr>
              <w:t>GLOSARIO DE TÉRMINOS</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_Toc53757458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54</w:t>
            </w:r>
            <w:r w:rsidR="00492810" w:rsidRPr="00443329">
              <w:rPr>
                <w:rFonts w:ascii="Century Gothic" w:hAnsi="Century Gothic"/>
                <w:b w:val="0"/>
                <w:noProof/>
                <w:webHidden/>
                <w:color w:val="595959" w:themeColor="text1" w:themeTint="A6"/>
              </w:rPr>
              <w:fldChar w:fldCharType="end"/>
            </w:r>
          </w:hyperlink>
        </w:p>
        <w:p w14:paraId="7F32BDE4" w14:textId="7A0DED43" w:rsidR="00492810" w:rsidRPr="00443329" w:rsidRDefault="007D4D27" w:rsidP="00492810">
          <w:pPr>
            <w:pStyle w:val="TDC1"/>
            <w:rPr>
              <w:rFonts w:ascii="Century Gothic" w:hAnsi="Century Gothic"/>
              <w:b w:val="0"/>
              <w:noProof/>
              <w:color w:val="595959" w:themeColor="text1" w:themeTint="A6"/>
            </w:rPr>
          </w:pPr>
          <w:hyperlink w:anchor="_Toc53757459" w:history="1">
            <w:r w:rsidR="00492810" w:rsidRPr="00443329">
              <w:rPr>
                <w:rStyle w:val="Hipervnculo"/>
                <w:rFonts w:ascii="Century Gothic" w:hAnsi="Century Gothic"/>
                <w:b w:val="0"/>
                <w:noProof/>
                <w:color w:val="595959" w:themeColor="text1" w:themeTint="A6"/>
              </w:rPr>
              <w:t>BIBLIOGRAFÍA</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_Toc53757459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70</w:t>
            </w:r>
            <w:r w:rsidR="00492810" w:rsidRPr="00443329">
              <w:rPr>
                <w:rFonts w:ascii="Century Gothic" w:hAnsi="Century Gothic"/>
                <w:b w:val="0"/>
                <w:noProof/>
                <w:webHidden/>
                <w:color w:val="595959" w:themeColor="text1" w:themeTint="A6"/>
              </w:rPr>
              <w:fldChar w:fldCharType="end"/>
            </w:r>
          </w:hyperlink>
        </w:p>
        <w:p w14:paraId="58ABDEF8" w14:textId="1D80FADB" w:rsidR="00492810" w:rsidRPr="00443329" w:rsidRDefault="007D4D27" w:rsidP="00492810">
          <w:pPr>
            <w:pStyle w:val="TDC1"/>
            <w:rPr>
              <w:rFonts w:ascii="Century Gothic" w:hAnsi="Century Gothic"/>
              <w:b w:val="0"/>
              <w:noProof/>
              <w:color w:val="595959" w:themeColor="text1" w:themeTint="A6"/>
            </w:rPr>
          </w:pPr>
          <w:hyperlink w:anchor="_Toc53757460" w:history="1">
            <w:r w:rsidR="00492810" w:rsidRPr="00443329">
              <w:rPr>
                <w:rStyle w:val="Hipervnculo"/>
                <w:rFonts w:ascii="Century Gothic" w:hAnsi="Century Gothic"/>
                <w:b w:val="0"/>
                <w:noProof/>
                <w:color w:val="595959" w:themeColor="text1" w:themeTint="A6"/>
              </w:rPr>
              <w:t>ANEXOS</w:t>
            </w:r>
            <w:r w:rsidR="00492810" w:rsidRPr="00443329">
              <w:rPr>
                <w:rFonts w:ascii="Century Gothic" w:hAnsi="Century Gothic"/>
                <w:b w:val="0"/>
                <w:noProof/>
                <w:webHidden/>
                <w:color w:val="595959" w:themeColor="text1" w:themeTint="A6"/>
              </w:rPr>
              <w:tab/>
            </w:r>
            <w:r w:rsidR="00492810" w:rsidRPr="00443329">
              <w:rPr>
                <w:rFonts w:ascii="Century Gothic" w:hAnsi="Century Gothic"/>
                <w:b w:val="0"/>
                <w:noProof/>
                <w:webHidden/>
                <w:color w:val="595959" w:themeColor="text1" w:themeTint="A6"/>
              </w:rPr>
              <w:fldChar w:fldCharType="begin"/>
            </w:r>
            <w:r w:rsidR="00492810" w:rsidRPr="00736A29">
              <w:rPr>
                <w:rFonts w:ascii="Century Gothic" w:hAnsi="Century Gothic"/>
                <w:b w:val="0"/>
                <w:bCs w:val="0"/>
                <w:noProof/>
                <w:webHidden/>
                <w:color w:val="595959" w:themeColor="text1" w:themeTint="A6"/>
                <w:szCs w:val="24"/>
              </w:rPr>
              <w:instrText xml:space="preserve"> PAGEREF _Toc53757460 \h </w:instrText>
            </w:r>
            <w:r w:rsidR="00492810" w:rsidRPr="00443329">
              <w:rPr>
                <w:rFonts w:ascii="Century Gothic" w:hAnsi="Century Gothic"/>
                <w:b w:val="0"/>
                <w:noProof/>
                <w:webHidden/>
                <w:color w:val="595959" w:themeColor="text1" w:themeTint="A6"/>
              </w:rPr>
            </w:r>
            <w:r w:rsidR="00492810" w:rsidRPr="00443329">
              <w:rPr>
                <w:rFonts w:ascii="Century Gothic" w:hAnsi="Century Gothic"/>
                <w:b w:val="0"/>
                <w:noProof/>
                <w:webHidden/>
                <w:color w:val="595959" w:themeColor="text1" w:themeTint="A6"/>
              </w:rPr>
              <w:fldChar w:fldCharType="separate"/>
            </w:r>
            <w:r w:rsidR="00C210FA">
              <w:rPr>
                <w:rFonts w:ascii="Century Gothic" w:hAnsi="Century Gothic"/>
                <w:b w:val="0"/>
                <w:bCs w:val="0"/>
                <w:noProof/>
                <w:webHidden/>
                <w:color w:val="595959" w:themeColor="text1" w:themeTint="A6"/>
                <w:szCs w:val="24"/>
              </w:rPr>
              <w:t>71</w:t>
            </w:r>
            <w:r w:rsidR="00492810" w:rsidRPr="00443329">
              <w:rPr>
                <w:rFonts w:ascii="Century Gothic" w:hAnsi="Century Gothic"/>
                <w:b w:val="0"/>
                <w:noProof/>
                <w:webHidden/>
                <w:color w:val="595959" w:themeColor="text1" w:themeTint="A6"/>
              </w:rPr>
              <w:fldChar w:fldCharType="end"/>
            </w:r>
          </w:hyperlink>
        </w:p>
        <w:p w14:paraId="5495B5C5" w14:textId="40902326" w:rsidR="00492810" w:rsidRPr="00141159" w:rsidRDefault="00492810" w:rsidP="00CF0C1E">
          <w:r w:rsidRPr="004F6717">
            <w:rPr>
              <w:bCs/>
              <w:color w:val="000000" w:themeColor="text1"/>
              <w:sz w:val="22"/>
              <w:lang w:val="es-ES"/>
            </w:rPr>
            <w:fldChar w:fldCharType="end"/>
          </w:r>
        </w:p>
      </w:sdtContent>
    </w:sdt>
    <w:p w14:paraId="0E6B3311" w14:textId="77777777" w:rsidR="00492810" w:rsidRPr="00443329" w:rsidRDefault="00492810" w:rsidP="00443329">
      <w:pPr>
        <w:pStyle w:val="TITULOINEC"/>
        <w:jc w:val="left"/>
        <w:rPr>
          <w:b w:val="0"/>
        </w:rPr>
      </w:pPr>
      <w:r w:rsidRPr="00443329">
        <w:t>LISTA DE ILUSTRACIONES</w:t>
      </w:r>
    </w:p>
    <w:p w14:paraId="4192C740" w14:textId="77777777" w:rsidR="00492810" w:rsidRPr="00317D4E" w:rsidRDefault="00492810" w:rsidP="00492810">
      <w:pPr>
        <w:pStyle w:val="TDC1"/>
        <w:rPr>
          <w:rStyle w:val="Hipervnculo"/>
          <w:noProof/>
          <w:color w:val="auto"/>
          <w:sz w:val="20"/>
        </w:rPr>
      </w:pPr>
    </w:p>
    <w:p w14:paraId="36F2C54E" w14:textId="1AD786AA" w:rsidR="00492810" w:rsidRPr="00880AA1" w:rsidRDefault="00492810" w:rsidP="00492810">
      <w:pPr>
        <w:pStyle w:val="Tabladeilustraciones"/>
        <w:tabs>
          <w:tab w:val="right" w:leader="dot" w:pos="9017"/>
        </w:tabs>
        <w:rPr>
          <w:rFonts w:ascii="Century Gothic" w:hAnsi="Century Gothic"/>
          <w:noProof/>
          <w:color w:val="595959" w:themeColor="text1" w:themeTint="A6"/>
          <w:sz w:val="28"/>
        </w:rPr>
      </w:pPr>
      <w:r w:rsidRPr="00317D4E">
        <w:rPr>
          <w:rStyle w:val="Hipervnculo"/>
          <w:rFonts w:ascii="Century Gothic" w:hAnsi="Century Gothic"/>
        </w:rPr>
        <w:fldChar w:fldCharType="begin"/>
      </w:r>
      <w:r w:rsidRPr="00317D4E">
        <w:rPr>
          <w:rStyle w:val="Hipervnculo"/>
          <w:rFonts w:ascii="Century Gothic" w:hAnsi="Century Gothic" w:cs="Arial"/>
          <w:noProof/>
          <w:lang w:eastAsia="es-EC"/>
        </w:rPr>
        <w:instrText xml:space="preserve"> TOC \h \z \c "Ilustración" </w:instrText>
      </w:r>
      <w:r w:rsidRPr="00317D4E">
        <w:rPr>
          <w:rStyle w:val="Hipervnculo"/>
          <w:rFonts w:ascii="Century Gothic" w:hAnsi="Century Gothic"/>
        </w:rPr>
        <w:fldChar w:fldCharType="separate"/>
      </w:r>
      <w:hyperlink w:anchor="_Toc25932416" w:history="1">
        <w:r w:rsidRPr="00880AA1">
          <w:rPr>
            <w:rStyle w:val="Hipervnculo"/>
            <w:rFonts w:ascii="Century Gothic" w:hAnsi="Century Gothic"/>
            <w:noProof/>
            <w:color w:val="595959" w:themeColor="text1" w:themeTint="A6"/>
            <w:sz w:val="24"/>
          </w:rPr>
          <w:t>Ilustración 1: Procesamiento de Datos DIEE</w:t>
        </w:r>
        <w:r w:rsidRPr="00880AA1">
          <w:rPr>
            <w:rFonts w:ascii="Century Gothic" w:hAnsi="Century Gothic"/>
            <w:noProof/>
            <w:webHidden/>
            <w:color w:val="595959" w:themeColor="text1" w:themeTint="A6"/>
            <w:sz w:val="24"/>
          </w:rPr>
          <w:tab/>
        </w:r>
        <w:r w:rsidRPr="00880AA1">
          <w:rPr>
            <w:rFonts w:ascii="Century Gothic" w:hAnsi="Century Gothic"/>
            <w:noProof/>
            <w:webHidden/>
            <w:color w:val="595959" w:themeColor="text1" w:themeTint="A6"/>
            <w:sz w:val="24"/>
          </w:rPr>
          <w:fldChar w:fldCharType="begin"/>
        </w:r>
        <w:r w:rsidRPr="00880AA1">
          <w:rPr>
            <w:rFonts w:ascii="Century Gothic" w:hAnsi="Century Gothic"/>
            <w:noProof/>
            <w:webHidden/>
            <w:color w:val="595959" w:themeColor="text1" w:themeTint="A6"/>
            <w:sz w:val="24"/>
          </w:rPr>
          <w:instrText xml:space="preserve"> PAGEREF _Toc25932416 \h </w:instrText>
        </w:r>
        <w:r w:rsidRPr="00880AA1">
          <w:rPr>
            <w:rFonts w:ascii="Century Gothic" w:hAnsi="Century Gothic"/>
            <w:noProof/>
            <w:webHidden/>
            <w:color w:val="595959" w:themeColor="text1" w:themeTint="A6"/>
            <w:sz w:val="24"/>
          </w:rPr>
        </w:r>
        <w:r w:rsidRPr="00880AA1">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rPr>
          <w:t>42</w:t>
        </w:r>
        <w:r w:rsidRPr="00880AA1">
          <w:rPr>
            <w:rFonts w:ascii="Century Gothic" w:hAnsi="Century Gothic"/>
            <w:noProof/>
            <w:webHidden/>
            <w:color w:val="595959" w:themeColor="text1" w:themeTint="A6"/>
            <w:sz w:val="24"/>
          </w:rPr>
          <w:fldChar w:fldCharType="end"/>
        </w:r>
      </w:hyperlink>
    </w:p>
    <w:p w14:paraId="1A88201F" w14:textId="4DD6BDD2" w:rsidR="00492810" w:rsidRPr="00880AA1" w:rsidRDefault="007D4D27" w:rsidP="00492810">
      <w:pPr>
        <w:pStyle w:val="Tabladeilustraciones"/>
        <w:tabs>
          <w:tab w:val="right" w:leader="dot" w:pos="9017"/>
        </w:tabs>
        <w:rPr>
          <w:rFonts w:ascii="Century Gothic" w:hAnsi="Century Gothic"/>
          <w:noProof/>
          <w:color w:val="595959" w:themeColor="text1" w:themeTint="A6"/>
          <w:sz w:val="28"/>
        </w:rPr>
      </w:pPr>
      <w:hyperlink w:anchor="_Toc25932417" w:history="1">
        <w:r w:rsidR="00492810" w:rsidRPr="00880AA1">
          <w:rPr>
            <w:rStyle w:val="Hipervnculo"/>
            <w:rFonts w:ascii="Century Gothic" w:hAnsi="Century Gothic"/>
            <w:noProof/>
            <w:color w:val="595959" w:themeColor="text1" w:themeTint="A6"/>
            <w:sz w:val="24"/>
          </w:rPr>
          <w:t>Ilustración 2: Estructura de captación del DIEE</w:t>
        </w:r>
        <w:r w:rsidR="00492810" w:rsidRPr="00880AA1">
          <w:rPr>
            <w:rFonts w:ascii="Century Gothic" w:hAnsi="Century Gothic"/>
            <w:noProof/>
            <w:webHidden/>
            <w:color w:val="595959" w:themeColor="text1" w:themeTint="A6"/>
            <w:sz w:val="24"/>
          </w:rPr>
          <w:tab/>
        </w:r>
        <w:r w:rsidR="00492810" w:rsidRPr="00880AA1">
          <w:rPr>
            <w:rFonts w:ascii="Century Gothic" w:hAnsi="Century Gothic"/>
            <w:noProof/>
            <w:webHidden/>
            <w:color w:val="595959" w:themeColor="text1" w:themeTint="A6"/>
            <w:sz w:val="24"/>
          </w:rPr>
          <w:fldChar w:fldCharType="begin"/>
        </w:r>
        <w:r w:rsidR="00492810" w:rsidRPr="00880AA1">
          <w:rPr>
            <w:rFonts w:ascii="Century Gothic" w:hAnsi="Century Gothic"/>
            <w:noProof/>
            <w:webHidden/>
            <w:color w:val="595959" w:themeColor="text1" w:themeTint="A6"/>
            <w:sz w:val="24"/>
          </w:rPr>
          <w:instrText xml:space="preserve"> PAGEREF _Toc25932417 \h </w:instrText>
        </w:r>
        <w:r w:rsidR="00492810" w:rsidRPr="00880AA1">
          <w:rPr>
            <w:rFonts w:ascii="Century Gothic" w:hAnsi="Century Gothic"/>
            <w:noProof/>
            <w:webHidden/>
            <w:color w:val="595959" w:themeColor="text1" w:themeTint="A6"/>
            <w:sz w:val="24"/>
          </w:rPr>
        </w:r>
        <w:r w:rsidR="00492810" w:rsidRPr="00880AA1">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rPr>
          <w:t>44</w:t>
        </w:r>
        <w:r w:rsidR="00492810" w:rsidRPr="00880AA1">
          <w:rPr>
            <w:rFonts w:ascii="Century Gothic" w:hAnsi="Century Gothic"/>
            <w:noProof/>
            <w:webHidden/>
            <w:color w:val="595959" w:themeColor="text1" w:themeTint="A6"/>
            <w:sz w:val="24"/>
          </w:rPr>
          <w:fldChar w:fldCharType="end"/>
        </w:r>
      </w:hyperlink>
    </w:p>
    <w:p w14:paraId="7345167B" w14:textId="3B12F4C9" w:rsidR="00492810" w:rsidRPr="00880AA1" w:rsidRDefault="007D4D27" w:rsidP="00492810">
      <w:pPr>
        <w:pStyle w:val="Tabladeilustraciones"/>
        <w:tabs>
          <w:tab w:val="right" w:leader="dot" w:pos="9017"/>
        </w:tabs>
        <w:rPr>
          <w:rFonts w:asciiTheme="minorHAnsi" w:eastAsiaTheme="minorEastAsia" w:hAnsiTheme="minorHAnsi"/>
          <w:noProof/>
          <w:color w:val="595959" w:themeColor="text1" w:themeTint="A6"/>
          <w:sz w:val="22"/>
          <w:lang w:eastAsia="es-EC"/>
        </w:rPr>
      </w:pPr>
      <w:hyperlink w:anchor="_Toc25932418" w:history="1">
        <w:r w:rsidR="00492810" w:rsidRPr="00880AA1">
          <w:rPr>
            <w:rStyle w:val="Hipervnculo"/>
            <w:rFonts w:ascii="Century Gothic" w:hAnsi="Century Gothic"/>
            <w:noProof/>
            <w:color w:val="595959" w:themeColor="text1" w:themeTint="A6"/>
            <w:sz w:val="24"/>
          </w:rPr>
          <w:t>Ilustración 3: Red virtual privada</w:t>
        </w:r>
        <w:r w:rsidR="00492810" w:rsidRPr="00880AA1">
          <w:rPr>
            <w:rFonts w:ascii="Century Gothic" w:hAnsi="Century Gothic"/>
            <w:noProof/>
            <w:webHidden/>
            <w:color w:val="595959" w:themeColor="text1" w:themeTint="A6"/>
            <w:sz w:val="24"/>
          </w:rPr>
          <w:tab/>
        </w:r>
        <w:r w:rsidR="00492810" w:rsidRPr="00880AA1">
          <w:rPr>
            <w:rFonts w:ascii="Century Gothic" w:hAnsi="Century Gothic"/>
            <w:noProof/>
            <w:webHidden/>
            <w:color w:val="595959" w:themeColor="text1" w:themeTint="A6"/>
            <w:sz w:val="24"/>
          </w:rPr>
          <w:fldChar w:fldCharType="begin"/>
        </w:r>
        <w:r w:rsidR="00492810" w:rsidRPr="00880AA1">
          <w:rPr>
            <w:rFonts w:ascii="Century Gothic" w:hAnsi="Century Gothic"/>
            <w:noProof/>
            <w:webHidden/>
            <w:color w:val="595959" w:themeColor="text1" w:themeTint="A6"/>
            <w:sz w:val="24"/>
          </w:rPr>
          <w:instrText xml:space="preserve"> PAGEREF _Toc25932418 \h </w:instrText>
        </w:r>
        <w:r w:rsidR="00492810" w:rsidRPr="00880AA1">
          <w:rPr>
            <w:rFonts w:ascii="Century Gothic" w:hAnsi="Century Gothic"/>
            <w:noProof/>
            <w:webHidden/>
            <w:color w:val="595959" w:themeColor="text1" w:themeTint="A6"/>
            <w:sz w:val="24"/>
          </w:rPr>
        </w:r>
        <w:r w:rsidR="00492810" w:rsidRPr="00880AA1">
          <w:rPr>
            <w:rFonts w:ascii="Century Gothic" w:hAnsi="Century Gothic"/>
            <w:noProof/>
            <w:webHidden/>
            <w:color w:val="595959" w:themeColor="text1" w:themeTint="A6"/>
            <w:sz w:val="24"/>
          </w:rPr>
          <w:fldChar w:fldCharType="separate"/>
        </w:r>
        <w:r w:rsidR="00C210FA">
          <w:rPr>
            <w:rFonts w:ascii="Century Gothic" w:hAnsi="Century Gothic"/>
            <w:noProof/>
            <w:webHidden/>
            <w:color w:val="595959" w:themeColor="text1" w:themeTint="A6"/>
            <w:sz w:val="24"/>
          </w:rPr>
          <w:t>44</w:t>
        </w:r>
        <w:r w:rsidR="00492810" w:rsidRPr="00880AA1">
          <w:rPr>
            <w:rFonts w:ascii="Century Gothic" w:hAnsi="Century Gothic"/>
            <w:noProof/>
            <w:webHidden/>
            <w:color w:val="595959" w:themeColor="text1" w:themeTint="A6"/>
            <w:sz w:val="24"/>
          </w:rPr>
          <w:fldChar w:fldCharType="end"/>
        </w:r>
      </w:hyperlink>
    </w:p>
    <w:p w14:paraId="3C7C68FD" w14:textId="77777777" w:rsidR="00492810" w:rsidRPr="004E29EF" w:rsidRDefault="00492810" w:rsidP="00492810">
      <w:pPr>
        <w:pStyle w:val="TDC2"/>
        <w:rPr>
          <w:color w:val="44546A" w:themeColor="text2"/>
          <w:szCs w:val="24"/>
          <w:lang w:eastAsia="es-EC"/>
        </w:rPr>
      </w:pPr>
      <w:r w:rsidRPr="00317D4E">
        <w:rPr>
          <w:rStyle w:val="Hipervnculo"/>
          <w:rFonts w:ascii="Century Gothic" w:hAnsi="Century Gothic" w:cs="Arial"/>
          <w:noProof/>
          <w:color w:val="auto"/>
          <w:lang w:eastAsia="es-EC"/>
        </w:rPr>
        <w:fldChar w:fldCharType="end"/>
      </w:r>
    </w:p>
    <w:p w14:paraId="0BD498F1" w14:textId="77777777" w:rsidR="00492810" w:rsidRPr="00CF0C1E" w:rsidRDefault="00492810" w:rsidP="00CF0C1E">
      <w:pPr>
        <w:rPr>
          <w:rFonts w:ascii="Century Gothic" w:hAnsi="Century Gothic"/>
          <w:b/>
          <w:color w:val="44546A" w:themeColor="text2"/>
        </w:rPr>
      </w:pPr>
    </w:p>
    <w:p w14:paraId="75FBFFA8" w14:textId="77777777" w:rsidR="00492810" w:rsidRPr="00443329" w:rsidRDefault="00492810" w:rsidP="00443329">
      <w:pPr>
        <w:pStyle w:val="TITULOINEC"/>
        <w:jc w:val="left"/>
        <w:rPr>
          <w:b w:val="0"/>
        </w:rPr>
      </w:pPr>
      <w:r w:rsidRPr="00443329">
        <w:t>LISTA DE TABLAS</w:t>
      </w:r>
    </w:p>
    <w:p w14:paraId="5F8BD361" w14:textId="77777777" w:rsidR="00492810" w:rsidRDefault="00492810" w:rsidP="00492810">
      <w:pPr>
        <w:pStyle w:val="TDC1"/>
        <w:rPr>
          <w:rStyle w:val="Hipervnculo"/>
          <w:noProof/>
          <w:sz w:val="20"/>
        </w:rPr>
      </w:pPr>
    </w:p>
    <w:p w14:paraId="34DD9713" w14:textId="77777777" w:rsidR="009A2E7E" w:rsidRPr="00BF7001" w:rsidRDefault="009A2E7E">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r w:rsidRPr="009A2E7E">
        <w:rPr>
          <w:rStyle w:val="Hipervnculo"/>
          <w:rFonts w:ascii="Century Gothic" w:hAnsi="Century Gothic" w:cs="Arial"/>
          <w:noProof/>
          <w:sz w:val="24"/>
          <w:szCs w:val="24"/>
          <w:lang w:eastAsia="es-EC"/>
        </w:rPr>
        <w:fldChar w:fldCharType="begin"/>
      </w:r>
      <w:r w:rsidRPr="009A2E7E">
        <w:rPr>
          <w:rStyle w:val="Hipervnculo"/>
          <w:rFonts w:ascii="Century Gothic" w:hAnsi="Century Gothic" w:cs="Arial"/>
          <w:noProof/>
          <w:sz w:val="24"/>
          <w:szCs w:val="24"/>
          <w:lang w:eastAsia="es-EC"/>
        </w:rPr>
        <w:instrText xml:space="preserve"> TOC \h \z \c "Tabla" </w:instrText>
      </w:r>
      <w:r w:rsidRPr="009A2E7E">
        <w:rPr>
          <w:rStyle w:val="Hipervnculo"/>
          <w:rFonts w:ascii="Century Gothic" w:hAnsi="Century Gothic" w:cs="Arial"/>
          <w:noProof/>
          <w:sz w:val="24"/>
          <w:szCs w:val="24"/>
          <w:lang w:eastAsia="es-EC"/>
        </w:rPr>
        <w:fldChar w:fldCharType="separate"/>
      </w:r>
      <w:hyperlink w:anchor="_Toc117591177" w:history="1">
        <w:r w:rsidRPr="00BF7001">
          <w:rPr>
            <w:rStyle w:val="Hipervnculo"/>
            <w:rFonts w:ascii="Century Gothic" w:hAnsi="Century Gothic"/>
            <w:noProof/>
            <w:color w:val="595959" w:themeColor="text1" w:themeTint="A6"/>
            <w:sz w:val="24"/>
            <w:szCs w:val="24"/>
          </w:rPr>
          <w:t>Tabla 1. Contribución de las Estadísticas al Plan Nacional de Desarrollo 2017 – 2021.</w:t>
        </w:r>
        <w:r w:rsidRPr="00BF7001">
          <w:rPr>
            <w:rFonts w:ascii="Century Gothic" w:hAnsi="Century Gothic"/>
            <w:noProof/>
            <w:webHidden/>
            <w:color w:val="595959" w:themeColor="text1" w:themeTint="A6"/>
            <w:sz w:val="24"/>
            <w:szCs w:val="24"/>
          </w:rPr>
          <w:tab/>
        </w:r>
        <w:r w:rsidRPr="00BF7001">
          <w:rPr>
            <w:rFonts w:ascii="Century Gothic" w:hAnsi="Century Gothic"/>
            <w:noProof/>
            <w:webHidden/>
            <w:color w:val="595959" w:themeColor="text1" w:themeTint="A6"/>
            <w:sz w:val="24"/>
            <w:szCs w:val="24"/>
          </w:rPr>
          <w:fldChar w:fldCharType="begin"/>
        </w:r>
        <w:r w:rsidRPr="00BF7001">
          <w:rPr>
            <w:rFonts w:ascii="Century Gothic" w:hAnsi="Century Gothic"/>
            <w:noProof/>
            <w:webHidden/>
            <w:color w:val="595959" w:themeColor="text1" w:themeTint="A6"/>
            <w:sz w:val="24"/>
            <w:szCs w:val="24"/>
          </w:rPr>
          <w:instrText xml:space="preserve"> PAGEREF _Toc117591177 \h </w:instrText>
        </w:r>
        <w:r w:rsidRPr="00BF7001">
          <w:rPr>
            <w:rFonts w:ascii="Century Gothic" w:hAnsi="Century Gothic"/>
            <w:noProof/>
            <w:webHidden/>
            <w:color w:val="595959" w:themeColor="text1" w:themeTint="A6"/>
            <w:sz w:val="24"/>
            <w:szCs w:val="24"/>
          </w:rPr>
        </w:r>
        <w:r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12</w:t>
        </w:r>
        <w:r w:rsidRPr="00BF7001">
          <w:rPr>
            <w:rFonts w:ascii="Century Gothic" w:hAnsi="Century Gothic"/>
            <w:noProof/>
            <w:webHidden/>
            <w:color w:val="595959" w:themeColor="text1" w:themeTint="A6"/>
            <w:sz w:val="24"/>
            <w:szCs w:val="24"/>
          </w:rPr>
          <w:fldChar w:fldCharType="end"/>
        </w:r>
      </w:hyperlink>
    </w:p>
    <w:p w14:paraId="33F97F35"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78" w:history="1">
        <w:r w:rsidR="009A2E7E" w:rsidRPr="00BF7001">
          <w:rPr>
            <w:rStyle w:val="Hipervnculo"/>
            <w:rFonts w:ascii="Century Gothic" w:hAnsi="Century Gothic"/>
            <w:noProof/>
            <w:color w:val="595959" w:themeColor="text1" w:themeTint="A6"/>
            <w:sz w:val="24"/>
            <w:szCs w:val="24"/>
          </w:rPr>
          <w:t>Tabla 2. Indicadores de los Objetivos de Desarrollo Sostenible</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_Toc117591178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13</w:t>
        </w:r>
        <w:r w:rsidR="009A2E7E" w:rsidRPr="00BF7001">
          <w:rPr>
            <w:rFonts w:ascii="Century Gothic" w:hAnsi="Century Gothic"/>
            <w:noProof/>
            <w:webHidden/>
            <w:color w:val="595959" w:themeColor="text1" w:themeTint="A6"/>
            <w:sz w:val="24"/>
            <w:szCs w:val="24"/>
          </w:rPr>
          <w:fldChar w:fldCharType="end"/>
        </w:r>
      </w:hyperlink>
    </w:p>
    <w:p w14:paraId="0591E84A"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79" w:history="1">
        <w:r w:rsidR="009A2E7E" w:rsidRPr="00BF7001">
          <w:rPr>
            <w:rStyle w:val="Hipervnculo"/>
            <w:rFonts w:ascii="Century Gothic" w:hAnsi="Century Gothic"/>
            <w:noProof/>
            <w:color w:val="595959" w:themeColor="text1" w:themeTint="A6"/>
            <w:sz w:val="24"/>
            <w:szCs w:val="24"/>
          </w:rPr>
          <w:t>Tabla 3. Principales usuarios y necesidades de la información del Directorio de Empresas y Establecimientos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_Toc117591179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14</w:t>
        </w:r>
        <w:r w:rsidR="009A2E7E" w:rsidRPr="00BF7001">
          <w:rPr>
            <w:rFonts w:ascii="Century Gothic" w:hAnsi="Century Gothic"/>
            <w:noProof/>
            <w:webHidden/>
            <w:color w:val="595959" w:themeColor="text1" w:themeTint="A6"/>
            <w:sz w:val="24"/>
            <w:szCs w:val="24"/>
          </w:rPr>
          <w:fldChar w:fldCharType="end"/>
        </w:r>
      </w:hyperlink>
    </w:p>
    <w:p w14:paraId="49891A6A"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0" w:history="1">
        <w:r w:rsidR="009A2E7E" w:rsidRPr="00BF7001">
          <w:rPr>
            <w:rStyle w:val="Hipervnculo"/>
            <w:rFonts w:ascii="Century Gothic" w:hAnsi="Century Gothic"/>
            <w:noProof/>
            <w:color w:val="595959" w:themeColor="text1" w:themeTint="A6"/>
            <w:sz w:val="24"/>
            <w:szCs w:val="24"/>
          </w:rPr>
          <w:t>Tabla 4. Variables que determinan la continuidad de empresas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_Toc117591180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23</w:t>
        </w:r>
        <w:r w:rsidR="009A2E7E" w:rsidRPr="00BF7001">
          <w:rPr>
            <w:rFonts w:ascii="Century Gothic" w:hAnsi="Century Gothic"/>
            <w:noProof/>
            <w:webHidden/>
            <w:color w:val="595959" w:themeColor="text1" w:themeTint="A6"/>
            <w:sz w:val="24"/>
            <w:szCs w:val="24"/>
          </w:rPr>
          <w:fldChar w:fldCharType="end"/>
        </w:r>
      </w:hyperlink>
    </w:p>
    <w:p w14:paraId="2BC72731"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1" w:history="1">
        <w:r w:rsidR="009A2E7E" w:rsidRPr="00BF7001">
          <w:rPr>
            <w:rStyle w:val="Hipervnculo"/>
            <w:rFonts w:ascii="Century Gothic" w:hAnsi="Century Gothic"/>
            <w:noProof/>
            <w:color w:val="595959" w:themeColor="text1" w:themeTint="A6"/>
            <w:sz w:val="24"/>
            <w:szCs w:val="24"/>
          </w:rPr>
          <w:t>Tabla 5. Cronograma general de actividades del Directorio de Empresas 2021</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_Toc117591181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26</w:t>
        </w:r>
        <w:r w:rsidR="009A2E7E" w:rsidRPr="00BF7001">
          <w:rPr>
            <w:rFonts w:ascii="Century Gothic" w:hAnsi="Century Gothic"/>
            <w:noProof/>
            <w:webHidden/>
            <w:color w:val="595959" w:themeColor="text1" w:themeTint="A6"/>
            <w:sz w:val="24"/>
            <w:szCs w:val="24"/>
          </w:rPr>
          <w:fldChar w:fldCharType="end"/>
        </w:r>
      </w:hyperlink>
    </w:p>
    <w:p w14:paraId="12375A52"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2" w:history="1">
        <w:r w:rsidR="009A2E7E" w:rsidRPr="00BF7001">
          <w:rPr>
            <w:rStyle w:val="Hipervnculo"/>
            <w:rFonts w:ascii="Century Gothic" w:hAnsi="Century Gothic"/>
            <w:noProof/>
            <w:color w:val="595959" w:themeColor="text1" w:themeTint="A6"/>
            <w:sz w:val="24"/>
            <w:szCs w:val="24"/>
          </w:rPr>
          <w:t>Tabla 6. Indicadores del Directorio de Empresas y Establecimientos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_Toc117591182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28</w:t>
        </w:r>
        <w:r w:rsidR="009A2E7E" w:rsidRPr="00BF7001">
          <w:rPr>
            <w:rFonts w:ascii="Century Gothic" w:hAnsi="Century Gothic"/>
            <w:noProof/>
            <w:webHidden/>
            <w:color w:val="595959" w:themeColor="text1" w:themeTint="A6"/>
            <w:sz w:val="24"/>
            <w:szCs w:val="24"/>
          </w:rPr>
          <w:fldChar w:fldCharType="end"/>
        </w:r>
      </w:hyperlink>
    </w:p>
    <w:p w14:paraId="7090B542"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3" w:history="1">
        <w:r w:rsidR="009A2E7E" w:rsidRPr="00BF7001">
          <w:rPr>
            <w:rStyle w:val="Hipervnculo"/>
            <w:rFonts w:ascii="Century Gothic" w:hAnsi="Century Gothic"/>
            <w:noProof/>
            <w:color w:val="595959" w:themeColor="text1" w:themeTint="A6"/>
            <w:sz w:val="24"/>
            <w:szCs w:val="24"/>
          </w:rPr>
          <w:t>Tabla 7. Plan de tabulados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_Toc117591183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32</w:t>
        </w:r>
        <w:r w:rsidR="009A2E7E" w:rsidRPr="00BF7001">
          <w:rPr>
            <w:rFonts w:ascii="Century Gothic" w:hAnsi="Century Gothic"/>
            <w:noProof/>
            <w:webHidden/>
            <w:color w:val="595959" w:themeColor="text1" w:themeTint="A6"/>
            <w:sz w:val="24"/>
            <w:szCs w:val="24"/>
          </w:rPr>
          <w:fldChar w:fldCharType="end"/>
        </w:r>
      </w:hyperlink>
    </w:p>
    <w:p w14:paraId="7A868B07"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4" w:history="1">
        <w:r w:rsidR="009A2E7E" w:rsidRPr="00BF7001">
          <w:rPr>
            <w:rStyle w:val="Hipervnculo"/>
            <w:rFonts w:ascii="Century Gothic" w:hAnsi="Century Gothic"/>
            <w:noProof/>
            <w:color w:val="595959" w:themeColor="text1" w:themeTint="A6"/>
            <w:sz w:val="24"/>
            <w:szCs w:val="24"/>
          </w:rPr>
          <w:t>Tabla 8. Lista de tablas proporcionadas por el SRI según periodicidad de actualización</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_Toc117591184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41</w:t>
        </w:r>
        <w:r w:rsidR="009A2E7E" w:rsidRPr="00BF7001">
          <w:rPr>
            <w:rFonts w:ascii="Century Gothic" w:hAnsi="Century Gothic"/>
            <w:noProof/>
            <w:webHidden/>
            <w:color w:val="595959" w:themeColor="text1" w:themeTint="A6"/>
            <w:sz w:val="24"/>
            <w:szCs w:val="24"/>
          </w:rPr>
          <w:fldChar w:fldCharType="end"/>
        </w:r>
      </w:hyperlink>
    </w:p>
    <w:p w14:paraId="169074AC" w14:textId="77777777" w:rsidR="009A2E7E" w:rsidRPr="00BF7001" w:rsidRDefault="007D4D27">
      <w:pPr>
        <w:pStyle w:val="Tabladeilustraciones"/>
        <w:tabs>
          <w:tab w:val="right" w:leader="dot" w:pos="8488"/>
        </w:tabs>
        <w:rPr>
          <w:rFonts w:ascii="Century Gothic" w:eastAsiaTheme="minorEastAsia" w:hAnsi="Century Gothic"/>
          <w:noProof/>
          <w:color w:val="595959" w:themeColor="text1" w:themeTint="A6"/>
          <w:sz w:val="24"/>
          <w:szCs w:val="24"/>
          <w:lang w:eastAsia="es-EC"/>
        </w:rPr>
      </w:pPr>
      <w:hyperlink w:anchor="_Toc117591185" w:history="1">
        <w:r w:rsidR="009A2E7E" w:rsidRPr="00BF7001">
          <w:rPr>
            <w:rStyle w:val="Hipervnculo"/>
            <w:rFonts w:ascii="Century Gothic" w:hAnsi="Century Gothic"/>
            <w:noProof/>
            <w:color w:val="595959" w:themeColor="text1" w:themeTint="A6"/>
            <w:sz w:val="24"/>
            <w:szCs w:val="24"/>
          </w:rPr>
          <w:t>Tabla 9. Condiciones definidas para la imputación de ventas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_Toc117591185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48</w:t>
        </w:r>
        <w:r w:rsidR="009A2E7E" w:rsidRPr="00BF7001">
          <w:rPr>
            <w:rFonts w:ascii="Century Gothic" w:hAnsi="Century Gothic"/>
            <w:noProof/>
            <w:webHidden/>
            <w:color w:val="595959" w:themeColor="text1" w:themeTint="A6"/>
            <w:sz w:val="24"/>
            <w:szCs w:val="24"/>
          </w:rPr>
          <w:fldChar w:fldCharType="end"/>
        </w:r>
      </w:hyperlink>
    </w:p>
    <w:p w14:paraId="3ED897F7" w14:textId="77777777" w:rsidR="009A2E7E" w:rsidRPr="009A2E7E" w:rsidRDefault="007D4D27">
      <w:pPr>
        <w:pStyle w:val="Tabladeilustraciones"/>
        <w:tabs>
          <w:tab w:val="right" w:leader="dot" w:pos="8488"/>
        </w:tabs>
        <w:rPr>
          <w:rFonts w:ascii="Century Gothic" w:eastAsiaTheme="minorEastAsia" w:hAnsi="Century Gothic"/>
          <w:noProof/>
          <w:sz w:val="24"/>
          <w:szCs w:val="24"/>
          <w:lang w:eastAsia="es-EC"/>
        </w:rPr>
      </w:pPr>
      <w:hyperlink w:anchor="_Toc117591186" w:history="1">
        <w:r w:rsidR="009A2E7E" w:rsidRPr="00BF7001">
          <w:rPr>
            <w:rStyle w:val="Hipervnculo"/>
            <w:rFonts w:ascii="Century Gothic" w:hAnsi="Century Gothic"/>
            <w:noProof/>
            <w:color w:val="595959" w:themeColor="text1" w:themeTint="A6"/>
            <w:sz w:val="24"/>
            <w:szCs w:val="24"/>
          </w:rPr>
          <w:t>Tabla 10. Listado de productos del Directorio de Empresas</w:t>
        </w:r>
        <w:r w:rsidR="009A2E7E" w:rsidRPr="00BF7001">
          <w:rPr>
            <w:rFonts w:ascii="Century Gothic" w:hAnsi="Century Gothic"/>
            <w:noProof/>
            <w:webHidden/>
            <w:color w:val="595959" w:themeColor="text1" w:themeTint="A6"/>
            <w:sz w:val="24"/>
            <w:szCs w:val="24"/>
          </w:rPr>
          <w:tab/>
        </w:r>
        <w:r w:rsidR="009A2E7E" w:rsidRPr="00BF7001">
          <w:rPr>
            <w:rFonts w:ascii="Century Gothic" w:hAnsi="Century Gothic"/>
            <w:noProof/>
            <w:webHidden/>
            <w:color w:val="595959" w:themeColor="text1" w:themeTint="A6"/>
            <w:sz w:val="24"/>
            <w:szCs w:val="24"/>
          </w:rPr>
          <w:fldChar w:fldCharType="begin"/>
        </w:r>
        <w:r w:rsidR="009A2E7E" w:rsidRPr="00BF7001">
          <w:rPr>
            <w:rFonts w:ascii="Century Gothic" w:hAnsi="Century Gothic"/>
            <w:noProof/>
            <w:webHidden/>
            <w:color w:val="595959" w:themeColor="text1" w:themeTint="A6"/>
            <w:sz w:val="24"/>
            <w:szCs w:val="24"/>
          </w:rPr>
          <w:instrText xml:space="preserve"> PAGEREF _Toc117591186 \h </w:instrText>
        </w:r>
        <w:r w:rsidR="009A2E7E" w:rsidRPr="00BF7001">
          <w:rPr>
            <w:rFonts w:ascii="Century Gothic" w:hAnsi="Century Gothic"/>
            <w:noProof/>
            <w:webHidden/>
            <w:color w:val="595959" w:themeColor="text1" w:themeTint="A6"/>
            <w:sz w:val="24"/>
            <w:szCs w:val="24"/>
          </w:rPr>
        </w:r>
        <w:r w:rsidR="009A2E7E" w:rsidRPr="00BF7001">
          <w:rPr>
            <w:rFonts w:ascii="Century Gothic" w:hAnsi="Century Gothic"/>
            <w:noProof/>
            <w:webHidden/>
            <w:color w:val="595959" w:themeColor="text1" w:themeTint="A6"/>
            <w:sz w:val="24"/>
            <w:szCs w:val="24"/>
          </w:rPr>
          <w:fldChar w:fldCharType="separate"/>
        </w:r>
        <w:r w:rsidR="00C210FA">
          <w:rPr>
            <w:rFonts w:ascii="Century Gothic" w:hAnsi="Century Gothic"/>
            <w:noProof/>
            <w:webHidden/>
            <w:color w:val="595959" w:themeColor="text1" w:themeTint="A6"/>
            <w:sz w:val="24"/>
            <w:szCs w:val="24"/>
          </w:rPr>
          <w:t>51</w:t>
        </w:r>
        <w:r w:rsidR="009A2E7E" w:rsidRPr="00BF7001">
          <w:rPr>
            <w:rFonts w:ascii="Century Gothic" w:hAnsi="Century Gothic"/>
            <w:noProof/>
            <w:webHidden/>
            <w:color w:val="595959" w:themeColor="text1" w:themeTint="A6"/>
            <w:sz w:val="24"/>
            <w:szCs w:val="24"/>
          </w:rPr>
          <w:fldChar w:fldCharType="end"/>
        </w:r>
      </w:hyperlink>
    </w:p>
    <w:p w14:paraId="5D8D0E41" w14:textId="55B35700" w:rsidR="00492810" w:rsidRPr="00776A21" w:rsidRDefault="009A2E7E" w:rsidP="00492810">
      <w:pPr>
        <w:pStyle w:val="TDC2"/>
        <w:rPr>
          <w:rStyle w:val="Hipervnculo"/>
          <w:rFonts w:ascii="Century Gothic" w:hAnsi="Century Gothic" w:cs="Arial"/>
          <w:noProof/>
          <w:szCs w:val="22"/>
          <w:lang w:eastAsia="es-EC"/>
        </w:rPr>
      </w:pPr>
      <w:r w:rsidRPr="009A2E7E">
        <w:rPr>
          <w:rStyle w:val="Hipervnculo"/>
          <w:rFonts w:ascii="Century Gothic" w:hAnsi="Century Gothic" w:cs="Arial"/>
          <w:noProof/>
          <w:sz w:val="24"/>
          <w:szCs w:val="24"/>
          <w:lang w:eastAsia="es-EC"/>
        </w:rPr>
        <w:fldChar w:fldCharType="end"/>
      </w:r>
    </w:p>
    <w:p w14:paraId="0768B03A" w14:textId="1B498E59" w:rsidR="00492810" w:rsidRPr="00443329" w:rsidRDefault="00492810" w:rsidP="00443329">
      <w:pPr>
        <w:pStyle w:val="TDC2"/>
        <w:rPr>
          <w:rStyle w:val="Hipervnculo"/>
          <w:rFonts w:ascii="Century Gothic" w:hAnsi="Century Gothic"/>
        </w:rPr>
      </w:pPr>
      <w:r w:rsidRPr="00CF0C1E">
        <w:rPr>
          <w:rStyle w:val="Hipervnculo"/>
          <w:rFonts w:ascii="Century Gothic" w:hAnsi="Century Gothic" w:cs="Arial"/>
          <w:noProof/>
          <w:lang w:eastAsia="es-EC"/>
        </w:rPr>
        <w:fldChar w:fldCharType="begin"/>
      </w:r>
      <w:r w:rsidRPr="00F14460">
        <w:rPr>
          <w:rStyle w:val="Hipervnculo"/>
          <w:rFonts w:ascii="Century Gothic" w:hAnsi="Century Gothic" w:cs="Arial"/>
          <w:noProof/>
          <w:lang w:eastAsia="es-EC"/>
        </w:rPr>
        <w:instrText xml:space="preserve"> TOC \h \z \c "Tabla" </w:instrText>
      </w:r>
      <w:r w:rsidRPr="00CF0C1E">
        <w:rPr>
          <w:rStyle w:val="Hipervnculo"/>
          <w:rFonts w:ascii="Century Gothic" w:hAnsi="Century Gothic" w:cs="Arial"/>
          <w:noProof/>
          <w:lang w:eastAsia="es-EC"/>
        </w:rPr>
        <w:fldChar w:fldCharType="separate"/>
      </w:r>
    </w:p>
    <w:p w14:paraId="563D6807" w14:textId="77777777" w:rsidR="00492810" w:rsidRDefault="00492810" w:rsidP="00492810">
      <w:pPr>
        <w:rPr>
          <w:lang w:eastAsia="es-EC"/>
        </w:rPr>
      </w:pPr>
    </w:p>
    <w:p w14:paraId="0CCCAEE9" w14:textId="77777777" w:rsidR="00492810" w:rsidRDefault="00492810" w:rsidP="00492810">
      <w:pPr>
        <w:rPr>
          <w:lang w:eastAsia="es-EC"/>
        </w:rPr>
      </w:pPr>
    </w:p>
    <w:p w14:paraId="235ED65F" w14:textId="77777777" w:rsidR="00492810" w:rsidRDefault="00492810" w:rsidP="00492810">
      <w:pPr>
        <w:rPr>
          <w:lang w:eastAsia="es-EC"/>
        </w:rPr>
      </w:pPr>
    </w:p>
    <w:p w14:paraId="0852B70F" w14:textId="77777777" w:rsidR="00492810" w:rsidRPr="00443329" w:rsidRDefault="00492810" w:rsidP="00443329">
      <w:pPr>
        <w:pStyle w:val="TITULOINEC"/>
        <w:jc w:val="left"/>
        <w:rPr>
          <w:b w:val="0"/>
        </w:rPr>
      </w:pPr>
      <w:r w:rsidRPr="00CF0C1E">
        <w:rPr>
          <w:rStyle w:val="Hipervnculo"/>
        </w:rPr>
        <w:fldChar w:fldCharType="end"/>
      </w:r>
      <w:r w:rsidRPr="00443329">
        <w:t>Siglas</w:t>
      </w:r>
    </w:p>
    <w:p w14:paraId="684564EE" w14:textId="77777777" w:rsidR="00492810" w:rsidRPr="00CF0C1E" w:rsidRDefault="00492810" w:rsidP="00CF0C1E">
      <w:pPr>
        <w:rPr>
          <w:rFonts w:ascii="Century Gothic" w:hAnsi="Century Gothic"/>
          <w:b/>
          <w:color w:val="595959" w:themeColor="text1" w:themeTint="A6"/>
        </w:rPr>
      </w:pPr>
    </w:p>
    <w:p w14:paraId="493DFE4A"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spacing w:val="-1"/>
          <w:sz w:val="20"/>
          <w:szCs w:val="22"/>
        </w:rPr>
      </w:pPr>
      <w:r w:rsidRPr="00443329">
        <w:rPr>
          <w:rFonts w:ascii="Century Gothic" w:hAnsi="Century Gothic"/>
          <w:i/>
          <w:color w:val="595959" w:themeColor="text1" w:themeTint="A6"/>
          <w:spacing w:val="-1"/>
        </w:rPr>
        <w:t>AMIE:</w:t>
      </w:r>
      <w:r w:rsidRPr="00443329">
        <w:rPr>
          <w:rFonts w:ascii="Century Gothic" w:hAnsi="Century Gothic"/>
          <w:i/>
          <w:color w:val="595959" w:themeColor="text1" w:themeTint="A6"/>
          <w:spacing w:val="-1"/>
        </w:rPr>
        <w:tab/>
        <w:t xml:space="preserve">Archivo Maestro de Instituciones Educativas </w:t>
      </w:r>
    </w:p>
    <w:p w14:paraId="6A513213"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spacing w:val="-1"/>
        </w:rPr>
      </w:pPr>
    </w:p>
    <w:p w14:paraId="47FAF0E6" w14:textId="77777777" w:rsidR="00492810" w:rsidRPr="00443329" w:rsidRDefault="00492810" w:rsidP="009E67B1">
      <w:pPr>
        <w:widowControl w:val="0"/>
        <w:tabs>
          <w:tab w:val="left" w:pos="2140"/>
        </w:tabs>
        <w:autoSpaceDE w:val="0"/>
        <w:autoSpaceDN w:val="0"/>
        <w:adjustRightInd w:val="0"/>
        <w:ind w:left="2124" w:hanging="1742"/>
        <w:jc w:val="both"/>
        <w:rPr>
          <w:rFonts w:ascii="Century Gothic" w:hAnsi="Century Gothic"/>
          <w:color w:val="595959" w:themeColor="text1" w:themeTint="A6"/>
        </w:rPr>
      </w:pP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3"/>
        </w:rPr>
        <w:t>D</w:t>
      </w:r>
      <w:r w:rsidRPr="00443329">
        <w:rPr>
          <w:rFonts w:ascii="Century Gothic" w:hAnsi="Century Gothic"/>
          <w:i/>
          <w:color w:val="595959" w:themeColor="text1" w:themeTint="A6"/>
          <w:spacing w:val="-1"/>
        </w:rPr>
        <w:t>ES</w:t>
      </w:r>
      <w:r w:rsidRPr="00443329">
        <w:rPr>
          <w:rFonts w:ascii="Century Gothic" w:hAnsi="Century Gothic"/>
          <w:i/>
          <w:color w:val="595959" w:themeColor="text1" w:themeTint="A6"/>
          <w:spacing w:val="3"/>
        </w:rPr>
        <w:t>T</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D:</w:t>
      </w:r>
      <w:r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y</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to</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spacing w:val="2"/>
        </w:rPr>
        <w:t>d</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C</w:t>
      </w:r>
      <w:r w:rsidRPr="00443329">
        <w:rPr>
          <w:rFonts w:ascii="Century Gothic" w:hAnsi="Century Gothic"/>
          <w:i/>
          <w:color w:val="595959" w:themeColor="text1" w:themeTint="A6"/>
          <w:spacing w:val="1"/>
        </w:rPr>
        <w:t>o</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ón</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rPr>
        <w:t>U</w:t>
      </w:r>
      <w:r w:rsidRPr="00443329">
        <w:rPr>
          <w:rFonts w:ascii="Century Gothic" w:hAnsi="Century Gothic"/>
          <w:i/>
          <w:color w:val="595959" w:themeColor="text1" w:themeTint="A6"/>
          <w:spacing w:val="2"/>
        </w:rPr>
        <w:t>E</w:t>
      </w:r>
      <w:r w:rsidRPr="00443329">
        <w:rPr>
          <w:rFonts w:ascii="Century Gothic" w:hAnsi="Century Gothic"/>
          <w:i/>
          <w:color w:val="595959" w:themeColor="text1" w:themeTint="A6"/>
          <w:spacing w:val="1"/>
        </w:rPr>
        <w:t>-</w:t>
      </w:r>
      <w:r w:rsidRPr="00443329">
        <w:rPr>
          <w:rFonts w:ascii="Century Gothic" w:hAnsi="Century Gothic"/>
          <w:i/>
          <w:color w:val="595959" w:themeColor="text1" w:themeTint="A6"/>
        </w:rPr>
        <w:t>C</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en</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2"/>
        </w:rPr>
        <w:t>t</w:t>
      </w:r>
      <w:r w:rsidRPr="00443329">
        <w:rPr>
          <w:rFonts w:ascii="Century Gothic" w:hAnsi="Century Gothic"/>
          <w:i/>
          <w:color w:val="595959" w:themeColor="text1" w:themeTint="A6"/>
        </w:rPr>
        <w:t>eria de</w:t>
      </w:r>
      <w:r w:rsidRPr="00443329">
        <w:rPr>
          <w:rFonts w:ascii="Century Gothic" w:hAnsi="Century Gothic"/>
          <w:i/>
          <w:color w:val="595959" w:themeColor="text1" w:themeTint="A6"/>
          <w:spacing w:val="-1"/>
        </w:rPr>
        <w:t xml:space="preserve"> 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ta</w:t>
      </w:r>
      <w:r w:rsidRPr="00443329">
        <w:rPr>
          <w:rFonts w:ascii="Century Gothic" w:hAnsi="Century Gothic"/>
          <w:i/>
          <w:color w:val="595959" w:themeColor="text1" w:themeTint="A6"/>
          <w:spacing w:val="-1"/>
        </w:rPr>
        <w:t>d</w:t>
      </w:r>
      <w:r w:rsidRPr="00443329">
        <w:rPr>
          <w:rFonts w:ascii="Century Gothic" w:hAnsi="Century Gothic"/>
          <w:i/>
          <w:color w:val="595959" w:themeColor="text1" w:themeTint="A6"/>
        </w:rPr>
        <w:t>í</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t</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as</w:t>
      </w:r>
    </w:p>
    <w:p w14:paraId="14871C8A" w14:textId="77777777" w:rsidR="009E67B1"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spacing w:val="-1"/>
        </w:rPr>
      </w:pPr>
      <w:r w:rsidRPr="00443329">
        <w:rPr>
          <w:rFonts w:ascii="Century Gothic" w:hAnsi="Century Gothic"/>
          <w:i/>
          <w:color w:val="595959" w:themeColor="text1" w:themeTint="A6"/>
          <w:spacing w:val="-1"/>
        </w:rPr>
        <w:t xml:space="preserve"> </w:t>
      </w:r>
    </w:p>
    <w:p w14:paraId="568368A4" w14:textId="1E5E8C90"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rPr>
      </w:pPr>
      <w:r w:rsidRPr="00443329">
        <w:rPr>
          <w:rFonts w:ascii="Century Gothic" w:hAnsi="Century Gothic"/>
          <w:i/>
          <w:color w:val="595959" w:themeColor="text1" w:themeTint="A6"/>
          <w:spacing w:val="-1"/>
        </w:rPr>
        <w:t>B</w:t>
      </w:r>
      <w:r w:rsidRPr="00443329">
        <w:rPr>
          <w:rFonts w:ascii="Century Gothic" w:hAnsi="Century Gothic"/>
          <w:i/>
          <w:color w:val="595959" w:themeColor="text1" w:themeTint="A6"/>
        </w:rPr>
        <w:t>ID:</w:t>
      </w:r>
      <w:r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B</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In</w:t>
      </w:r>
      <w:r w:rsidRPr="00443329">
        <w:rPr>
          <w:rFonts w:ascii="Century Gothic" w:hAnsi="Century Gothic"/>
          <w:i/>
          <w:color w:val="595959" w:themeColor="text1" w:themeTint="A6"/>
          <w:spacing w:val="-1"/>
        </w:rPr>
        <w:t>t</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m</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o de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2"/>
        </w:rPr>
        <w:t>D</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ar</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o</w:t>
      </w:r>
    </w:p>
    <w:p w14:paraId="0A5241DC"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10B5518B"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sz w:val="20"/>
          <w:szCs w:val="22"/>
        </w:rPr>
      </w:pPr>
      <w:r w:rsidRPr="00443329">
        <w:rPr>
          <w:rFonts w:ascii="Century Gothic" w:hAnsi="Century Gothic"/>
          <w:i/>
          <w:color w:val="595959" w:themeColor="text1" w:themeTint="A6"/>
          <w:spacing w:val="-1"/>
        </w:rPr>
        <w:t>BP</w:t>
      </w:r>
      <w:r w:rsidRPr="00443329">
        <w:rPr>
          <w:rFonts w:ascii="Century Gothic" w:hAnsi="Century Gothic"/>
          <w:i/>
          <w:color w:val="595959" w:themeColor="text1" w:themeTint="A6"/>
          <w:spacing w:val="2"/>
        </w:rPr>
        <w:t>R</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Bi</w:t>
      </w:r>
      <w:r w:rsidRPr="00443329">
        <w:rPr>
          <w:rFonts w:ascii="Century Gothic" w:hAnsi="Century Gothic"/>
          <w:i/>
          <w:color w:val="595959" w:themeColor="text1" w:themeTint="A6"/>
          <w:spacing w:val="2"/>
        </w:rPr>
        <w:t>e</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s</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rPr>
        <w:t>ú</w:t>
      </w:r>
      <w:r w:rsidRPr="00443329">
        <w:rPr>
          <w:rFonts w:ascii="Century Gothic" w:hAnsi="Century Gothic"/>
          <w:i/>
          <w:color w:val="595959" w:themeColor="text1" w:themeTint="A6"/>
          <w:spacing w:val="1"/>
        </w:rPr>
        <w:t>b</w:t>
      </w:r>
      <w:r w:rsidRPr="00443329">
        <w:rPr>
          <w:rFonts w:ascii="Century Gothic" w:hAnsi="Century Gothic"/>
          <w:i/>
          <w:color w:val="595959" w:themeColor="text1" w:themeTint="A6"/>
          <w:spacing w:val="-1"/>
        </w:rPr>
        <w:t>li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 xml:space="preserve">os </w:t>
      </w:r>
      <w:r w:rsidRPr="00443329">
        <w:rPr>
          <w:rFonts w:ascii="Century Gothic" w:hAnsi="Century Gothic"/>
          <w:i/>
          <w:color w:val="595959" w:themeColor="text1" w:themeTint="A6"/>
          <w:spacing w:val="2"/>
        </w:rPr>
        <w:t>R</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g</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spacing w:val="2"/>
        </w:rPr>
        <w:t>e</w:t>
      </w:r>
      <w:r w:rsidRPr="00443329">
        <w:rPr>
          <w:rFonts w:ascii="Century Gothic" w:hAnsi="Century Gothic"/>
          <w:i/>
          <w:color w:val="595959" w:themeColor="text1" w:themeTint="A6"/>
        </w:rPr>
        <w:t>s</w:t>
      </w:r>
    </w:p>
    <w:p w14:paraId="1705F2F4"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5A46299F"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rPr>
      </w:pPr>
      <w:r w:rsidRPr="00443329">
        <w:rPr>
          <w:rFonts w:ascii="Century Gothic" w:hAnsi="Century Gothic"/>
          <w:i/>
          <w:color w:val="595959" w:themeColor="text1" w:themeTint="A6"/>
        </w:rPr>
        <w:t>C</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N:</w:t>
      </w:r>
      <w:r w:rsidRPr="00443329">
        <w:rPr>
          <w:rFonts w:ascii="Century Gothic" w:hAnsi="Century Gothic"/>
          <w:i/>
          <w:color w:val="595959" w:themeColor="text1" w:themeTint="A6"/>
        </w:rPr>
        <w:tab/>
        <w:t>Com</w:t>
      </w:r>
      <w:r w:rsidRPr="00443329">
        <w:rPr>
          <w:rFonts w:ascii="Century Gothic" w:hAnsi="Century Gothic"/>
          <w:i/>
          <w:color w:val="595959" w:themeColor="text1" w:themeTint="A6"/>
          <w:spacing w:val="1"/>
        </w:rPr>
        <w:t>u</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d</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d</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d</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na</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spacing w:val="2"/>
        </w:rPr>
        <w:t>d</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3"/>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es</w:t>
      </w:r>
    </w:p>
    <w:p w14:paraId="50B78E54"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2CDC16FD"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sz w:val="20"/>
          <w:szCs w:val="22"/>
        </w:rPr>
      </w:pPr>
      <w:r w:rsidRPr="00443329">
        <w:rPr>
          <w:rFonts w:ascii="Century Gothic" w:hAnsi="Century Gothic"/>
          <w:i/>
          <w:color w:val="595959" w:themeColor="text1" w:themeTint="A6"/>
        </w:rPr>
        <w:t>CN</w:t>
      </w:r>
      <w:r w:rsidRPr="00443329">
        <w:rPr>
          <w:rFonts w:ascii="Century Gothic" w:hAnsi="Century Gothic"/>
          <w:i/>
          <w:color w:val="595959" w:themeColor="text1" w:themeTint="A6"/>
          <w:spacing w:val="1"/>
        </w:rPr>
        <w:t>T</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t>Corp</w:t>
      </w:r>
      <w:r w:rsidRPr="00443329">
        <w:rPr>
          <w:rFonts w:ascii="Century Gothic" w:hAnsi="Century Gothic"/>
          <w:i/>
          <w:color w:val="595959" w:themeColor="text1" w:themeTint="A6"/>
          <w:spacing w:val="-1"/>
        </w:rPr>
        <w:t>o</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ci</w:t>
      </w:r>
      <w:r w:rsidRPr="00443329">
        <w:rPr>
          <w:rFonts w:ascii="Century Gothic" w:hAnsi="Century Gothic"/>
          <w:i/>
          <w:color w:val="595959" w:themeColor="text1" w:themeTint="A6"/>
        </w:rPr>
        <w:t>ón</w:t>
      </w:r>
      <w:r w:rsidRPr="00443329">
        <w:rPr>
          <w:rFonts w:ascii="Century Gothic" w:hAnsi="Century Gothic"/>
          <w:i/>
          <w:color w:val="595959" w:themeColor="text1" w:themeTint="A6"/>
          <w:spacing w:val="-5"/>
        </w:rPr>
        <w:t xml:space="preserve"> </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o</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l de</w:t>
      </w:r>
      <w:r w:rsidRPr="00443329">
        <w:rPr>
          <w:rFonts w:ascii="Century Gothic" w:hAnsi="Century Gothic"/>
          <w:i/>
          <w:color w:val="595959" w:themeColor="text1" w:themeTint="A6"/>
          <w:spacing w:val="-3"/>
        </w:rPr>
        <w:t xml:space="preserve"> </w:t>
      </w:r>
      <w:r w:rsidRPr="00443329">
        <w:rPr>
          <w:rFonts w:ascii="Century Gothic" w:hAnsi="Century Gothic"/>
          <w:i/>
          <w:color w:val="595959" w:themeColor="text1" w:themeTint="A6"/>
          <w:spacing w:val="3"/>
        </w:rPr>
        <w:t>T</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2"/>
        </w:rPr>
        <w:t>o</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u</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o</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s</w:t>
      </w:r>
    </w:p>
    <w:p w14:paraId="126AC606" w14:textId="77777777" w:rsidR="00492810" w:rsidRPr="00443329" w:rsidRDefault="00492810" w:rsidP="009E67B1">
      <w:pPr>
        <w:widowControl w:val="0"/>
        <w:autoSpaceDE w:val="0"/>
        <w:autoSpaceDN w:val="0"/>
        <w:adjustRightInd w:val="0"/>
        <w:spacing w:before="1"/>
        <w:jc w:val="both"/>
        <w:rPr>
          <w:rFonts w:ascii="Century Gothic" w:hAnsi="Century Gothic"/>
          <w:color w:val="595959" w:themeColor="text1" w:themeTint="A6"/>
        </w:rPr>
      </w:pPr>
    </w:p>
    <w:p w14:paraId="253B8D0D"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rPr>
      </w:pPr>
      <w:r w:rsidRPr="00443329">
        <w:rPr>
          <w:rFonts w:ascii="Century Gothic" w:hAnsi="Century Gothic"/>
          <w:i/>
          <w:color w:val="595959" w:themeColor="text1" w:themeTint="A6"/>
        </w:rPr>
        <w:t>C</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C:</w:t>
      </w:r>
      <w:r w:rsidRPr="00443329">
        <w:rPr>
          <w:rFonts w:ascii="Century Gothic" w:hAnsi="Century Gothic"/>
          <w:i/>
          <w:color w:val="595959" w:themeColor="text1" w:themeTint="A6"/>
        </w:rPr>
        <w:tab/>
        <w:t>Censo</w:t>
      </w:r>
      <w:r w:rsidRPr="00443329">
        <w:rPr>
          <w:rFonts w:ascii="Century Gothic" w:hAnsi="Century Gothic"/>
          <w:i/>
          <w:color w:val="595959" w:themeColor="text1" w:themeTint="A6"/>
          <w:spacing w:val="-6"/>
        </w:rPr>
        <w:t xml:space="preserve"> </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 xml:space="preserve">al </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ó</w:t>
      </w:r>
      <w:r w:rsidRPr="00443329">
        <w:rPr>
          <w:rFonts w:ascii="Century Gothic" w:hAnsi="Century Gothic"/>
          <w:i/>
          <w:color w:val="595959" w:themeColor="text1" w:themeTint="A6"/>
          <w:spacing w:val="2"/>
        </w:rPr>
        <w:t>m</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o</w:t>
      </w:r>
    </w:p>
    <w:p w14:paraId="789F0063"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rPr>
      </w:pPr>
    </w:p>
    <w:p w14:paraId="06DEDFE9" w14:textId="5C1D730A"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sz w:val="20"/>
          <w:szCs w:val="22"/>
        </w:rPr>
      </w:pPr>
      <w:r w:rsidRPr="00443329">
        <w:rPr>
          <w:rFonts w:ascii="Century Gothic" w:hAnsi="Century Gothic"/>
          <w:i/>
          <w:color w:val="595959" w:themeColor="text1" w:themeTint="A6"/>
        </w:rPr>
        <w:t>CEPAL:</w:t>
      </w:r>
      <w:r w:rsidRPr="00443329">
        <w:rPr>
          <w:rFonts w:ascii="Century Gothic" w:hAnsi="Century Gothic"/>
          <w:i/>
          <w:color w:val="595959" w:themeColor="text1" w:themeTint="A6"/>
        </w:rPr>
        <w:tab/>
        <w:t xml:space="preserve">Comisión Económica </w:t>
      </w:r>
      <w:r w:rsidR="00043628">
        <w:rPr>
          <w:rFonts w:ascii="Century Gothic" w:hAnsi="Century Gothic"/>
          <w:i/>
          <w:color w:val="595959" w:themeColor="text1" w:themeTint="A6"/>
        </w:rPr>
        <w:t>p</w:t>
      </w:r>
      <w:r w:rsidRPr="00443329">
        <w:rPr>
          <w:rFonts w:ascii="Century Gothic" w:hAnsi="Century Gothic"/>
          <w:i/>
          <w:color w:val="595959" w:themeColor="text1" w:themeTint="A6"/>
        </w:rPr>
        <w:t>ara América Latina y el Caribe</w:t>
      </w:r>
    </w:p>
    <w:p w14:paraId="2F40B08F" w14:textId="77777777" w:rsidR="00492810" w:rsidRPr="00443329" w:rsidRDefault="00492810" w:rsidP="009E67B1">
      <w:pPr>
        <w:widowControl w:val="0"/>
        <w:autoSpaceDE w:val="0"/>
        <w:autoSpaceDN w:val="0"/>
        <w:adjustRightInd w:val="0"/>
        <w:spacing w:before="8"/>
        <w:jc w:val="both"/>
        <w:rPr>
          <w:rFonts w:ascii="Century Gothic" w:hAnsi="Century Gothic"/>
          <w:color w:val="595959" w:themeColor="text1" w:themeTint="A6"/>
        </w:rPr>
      </w:pPr>
    </w:p>
    <w:p w14:paraId="5FC2194A" w14:textId="70D330E1"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sz w:val="20"/>
          <w:szCs w:val="22"/>
        </w:rPr>
      </w:pPr>
      <w:r w:rsidRPr="00443329">
        <w:rPr>
          <w:rFonts w:ascii="Century Gothic" w:hAnsi="Century Gothic"/>
          <w:i/>
          <w:color w:val="595959" w:themeColor="text1" w:themeTint="A6"/>
        </w:rPr>
        <w:t>DI</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t>D</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tor</w:t>
      </w:r>
      <w:r w:rsidRPr="00443329">
        <w:rPr>
          <w:rFonts w:ascii="Century Gothic" w:hAnsi="Century Gothic"/>
          <w:i/>
          <w:color w:val="595959" w:themeColor="text1" w:themeTint="A6"/>
          <w:spacing w:val="2"/>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de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 xml:space="preserve">as y </w:t>
      </w:r>
      <w:r w:rsidR="00043628">
        <w:rPr>
          <w:rFonts w:ascii="Century Gothic" w:hAnsi="Century Gothic"/>
          <w:i/>
          <w:color w:val="595959" w:themeColor="text1" w:themeTint="A6"/>
          <w:spacing w:val="2"/>
        </w:rPr>
        <w:t>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ta</w:t>
      </w:r>
      <w:r w:rsidRPr="00443329">
        <w:rPr>
          <w:rFonts w:ascii="Century Gothic" w:hAnsi="Century Gothic"/>
          <w:i/>
          <w:color w:val="595959" w:themeColor="text1" w:themeTint="A6"/>
          <w:spacing w:val="-1"/>
        </w:rPr>
        <w:t>bl</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3"/>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m</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2"/>
        </w:rPr>
        <w:t>t</w:t>
      </w:r>
      <w:r w:rsidRPr="00443329">
        <w:rPr>
          <w:rFonts w:ascii="Century Gothic" w:hAnsi="Century Gothic"/>
          <w:i/>
          <w:color w:val="595959" w:themeColor="text1" w:themeTint="A6"/>
        </w:rPr>
        <w:t>os</w:t>
      </w:r>
    </w:p>
    <w:p w14:paraId="345126B1"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2C432D28" w14:textId="77777777" w:rsidR="009E67B1" w:rsidRDefault="00492810" w:rsidP="009E67B1">
      <w:pPr>
        <w:widowControl w:val="0"/>
        <w:tabs>
          <w:tab w:val="left" w:pos="2140"/>
        </w:tabs>
        <w:autoSpaceDE w:val="0"/>
        <w:autoSpaceDN w:val="0"/>
        <w:adjustRightInd w:val="0"/>
        <w:ind w:left="2127" w:right="-7" w:hanging="1745"/>
        <w:jc w:val="both"/>
        <w:rPr>
          <w:rFonts w:ascii="Century Gothic" w:hAnsi="Century Gothic"/>
          <w:i/>
          <w:color w:val="595959" w:themeColor="text1" w:themeTint="A6"/>
        </w:rPr>
      </w:pP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TL:</w:t>
      </w:r>
      <w:r w:rsidRPr="00736A29">
        <w:rPr>
          <w:rFonts w:ascii="Century Gothic" w:hAnsi="Century Gothic" w:cs="Arial"/>
          <w:i/>
          <w:iCs/>
          <w:color w:val="595959" w:themeColor="text1" w:themeTint="A6"/>
        </w:rPr>
        <w:tab/>
      </w:r>
      <w:r w:rsidR="00CC66B2"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x</w:t>
      </w:r>
      <w:r w:rsidRPr="00443329">
        <w:rPr>
          <w:rFonts w:ascii="Century Gothic" w:hAnsi="Century Gothic"/>
          <w:i/>
          <w:color w:val="595959" w:themeColor="text1" w:themeTint="A6"/>
        </w:rPr>
        <w:t>tra</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tr</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formar</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 xml:space="preserve">y </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ar</w:t>
      </w:r>
      <w:r w:rsidRPr="00443329">
        <w:rPr>
          <w:rFonts w:ascii="Century Gothic" w:hAnsi="Century Gothic"/>
          <w:i/>
          <w:color w:val="595959" w:themeColor="text1" w:themeTint="A6"/>
          <w:spacing w:val="2"/>
        </w:rPr>
        <w:t>g</w:t>
      </w:r>
      <w:r w:rsidRPr="00443329">
        <w:rPr>
          <w:rFonts w:ascii="Century Gothic" w:hAnsi="Century Gothic"/>
          <w:i/>
          <w:color w:val="595959" w:themeColor="text1" w:themeTint="A6"/>
        </w:rPr>
        <w:t>ar</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x</w:t>
      </w:r>
      <w:r w:rsidRPr="00443329">
        <w:rPr>
          <w:rFonts w:ascii="Century Gothic" w:hAnsi="Century Gothic"/>
          <w:i/>
          <w:color w:val="595959" w:themeColor="text1" w:themeTint="A6"/>
        </w:rPr>
        <w:t>tra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t,</w:t>
      </w:r>
      <w:r w:rsidR="00E21D4E">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t</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fo</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 xml:space="preserve"> a</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d</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d)</w:t>
      </w:r>
    </w:p>
    <w:p w14:paraId="284622FA" w14:textId="28281DE4" w:rsidR="00492810" w:rsidRPr="00443329" w:rsidRDefault="00492810" w:rsidP="009E67B1">
      <w:pPr>
        <w:widowControl w:val="0"/>
        <w:tabs>
          <w:tab w:val="left" w:pos="2140"/>
        </w:tabs>
        <w:autoSpaceDE w:val="0"/>
        <w:autoSpaceDN w:val="0"/>
        <w:adjustRightInd w:val="0"/>
        <w:ind w:left="2127" w:right="1224" w:hanging="1745"/>
        <w:jc w:val="both"/>
        <w:rPr>
          <w:rFonts w:ascii="Century Gothic" w:hAnsi="Century Gothic"/>
          <w:i/>
          <w:color w:val="595959" w:themeColor="text1" w:themeTint="A6"/>
        </w:rPr>
      </w:pPr>
      <w:r w:rsidRPr="00443329">
        <w:rPr>
          <w:rFonts w:ascii="Century Gothic" w:hAnsi="Century Gothic"/>
          <w:i/>
          <w:color w:val="595959" w:themeColor="text1" w:themeTint="A6"/>
        </w:rPr>
        <w:t xml:space="preserve"> </w:t>
      </w:r>
    </w:p>
    <w:p w14:paraId="25B8A005" w14:textId="77777777" w:rsidR="00492810"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rPr>
      </w:pPr>
      <w:r w:rsidRPr="00443329">
        <w:rPr>
          <w:rFonts w:ascii="Century Gothic" w:hAnsi="Century Gothic"/>
          <w:i/>
          <w:color w:val="595959" w:themeColor="text1" w:themeTint="A6"/>
          <w:spacing w:val="-1"/>
        </w:rPr>
        <w:t>EUROS</w:t>
      </w:r>
      <w:r w:rsidRPr="00443329">
        <w:rPr>
          <w:rFonts w:ascii="Century Gothic" w:hAnsi="Century Gothic"/>
          <w:i/>
          <w:color w:val="595959" w:themeColor="text1" w:themeTint="A6"/>
          <w:spacing w:val="3"/>
        </w:rPr>
        <w:t>T</w:t>
      </w:r>
      <w:r w:rsidRPr="00443329">
        <w:rPr>
          <w:rFonts w:ascii="Century Gothic" w:hAnsi="Century Gothic"/>
          <w:i/>
          <w:color w:val="595959" w:themeColor="text1" w:themeTint="A6"/>
          <w:spacing w:val="-1"/>
        </w:rPr>
        <w:t>AT</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Oficina de estadísticas</w:t>
      </w:r>
      <w:r w:rsidRPr="00443329">
        <w:rPr>
          <w:rFonts w:ascii="Century Gothic" w:hAnsi="Century Gothic"/>
          <w:i/>
          <w:color w:val="595959" w:themeColor="text1" w:themeTint="A6"/>
        </w:rPr>
        <w:t xml:space="preserve"> de la Unión Europea</w:t>
      </w:r>
    </w:p>
    <w:p w14:paraId="260F7CCF" w14:textId="77777777" w:rsidR="009E67B1" w:rsidRPr="00443329" w:rsidRDefault="009E67B1" w:rsidP="009E67B1">
      <w:pPr>
        <w:widowControl w:val="0"/>
        <w:tabs>
          <w:tab w:val="left" w:pos="2140"/>
        </w:tabs>
        <w:autoSpaceDE w:val="0"/>
        <w:autoSpaceDN w:val="0"/>
        <w:adjustRightInd w:val="0"/>
        <w:ind w:left="382"/>
        <w:jc w:val="both"/>
        <w:rPr>
          <w:rFonts w:ascii="Century Gothic" w:hAnsi="Century Gothic"/>
          <w:color w:val="595959" w:themeColor="text1" w:themeTint="A6"/>
          <w:sz w:val="20"/>
          <w:szCs w:val="22"/>
        </w:rPr>
      </w:pPr>
    </w:p>
    <w:p w14:paraId="36DFB96E" w14:textId="0A32B795" w:rsidR="00492810" w:rsidRDefault="00492810" w:rsidP="009E67B1">
      <w:pPr>
        <w:widowControl w:val="0"/>
        <w:tabs>
          <w:tab w:val="left" w:pos="2140"/>
        </w:tabs>
        <w:autoSpaceDE w:val="0"/>
        <w:autoSpaceDN w:val="0"/>
        <w:adjustRightInd w:val="0"/>
        <w:ind w:left="2124" w:right="-7" w:hanging="1742"/>
        <w:jc w:val="both"/>
        <w:rPr>
          <w:rFonts w:ascii="Century Gothic" w:hAnsi="Century Gothic"/>
          <w:i/>
          <w:color w:val="595959" w:themeColor="text1" w:themeTint="A6"/>
        </w:rPr>
      </w:pPr>
      <w:r w:rsidRPr="00443329">
        <w:rPr>
          <w:rFonts w:ascii="Century Gothic" w:hAnsi="Century Gothic"/>
          <w:i/>
          <w:color w:val="595959" w:themeColor="text1" w:themeTint="A6"/>
        </w:rPr>
        <w:t>FL</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2"/>
        </w:rPr>
        <w:t>C</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O</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r>
      <w:r w:rsidR="009E67B1">
        <w:rPr>
          <w:rFonts w:ascii="Century Gothic" w:hAnsi="Century Gothic"/>
          <w:i/>
          <w:color w:val="595959" w:themeColor="text1" w:themeTint="A6"/>
        </w:rPr>
        <w:tab/>
      </w:r>
      <w:r w:rsidRPr="00443329">
        <w:rPr>
          <w:rFonts w:ascii="Century Gothic" w:hAnsi="Century Gothic"/>
          <w:i/>
          <w:color w:val="595959" w:themeColor="text1" w:themeTint="A6"/>
        </w:rPr>
        <w:t>Fa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u</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t</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d</w:t>
      </w:r>
      <w:r w:rsidRPr="00443329">
        <w:rPr>
          <w:rFonts w:ascii="Century Gothic" w:hAnsi="Century Gothic"/>
          <w:i/>
          <w:color w:val="595959" w:themeColor="text1" w:themeTint="A6"/>
          <w:spacing w:val="-2"/>
        </w:rPr>
        <w:t xml:space="preserve"> </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t</w:t>
      </w:r>
      <w:r w:rsidRPr="00443329">
        <w:rPr>
          <w:rFonts w:ascii="Century Gothic" w:hAnsi="Century Gothic"/>
          <w:i/>
          <w:color w:val="595959" w:themeColor="text1" w:themeTint="A6"/>
          <w:spacing w:val="1"/>
        </w:rPr>
        <w:t>in</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na de</w:t>
      </w:r>
      <w:r w:rsidRPr="00443329">
        <w:rPr>
          <w:rFonts w:ascii="Century Gothic" w:hAnsi="Century Gothic"/>
          <w:i/>
          <w:color w:val="595959" w:themeColor="text1" w:themeTint="A6"/>
          <w:spacing w:val="-3"/>
        </w:rPr>
        <w:t xml:space="preserve"> </w:t>
      </w:r>
      <w:r w:rsidRPr="00443329">
        <w:rPr>
          <w:rFonts w:ascii="Century Gothic" w:hAnsi="Century Gothic"/>
          <w:i/>
          <w:color w:val="595959" w:themeColor="text1" w:themeTint="A6"/>
          <w:spacing w:val="2"/>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1"/>
        </w:rPr>
        <w:t>ci</w:t>
      </w:r>
      <w:r w:rsidRPr="00443329">
        <w:rPr>
          <w:rFonts w:ascii="Century Gothic" w:hAnsi="Century Gothic"/>
          <w:i/>
          <w:color w:val="595959" w:themeColor="text1" w:themeTint="A6"/>
        </w:rPr>
        <w:t xml:space="preserve">as </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es</w:t>
      </w:r>
    </w:p>
    <w:p w14:paraId="3B33E7E4" w14:textId="77777777" w:rsidR="009E67B1" w:rsidRPr="00443329" w:rsidRDefault="009E67B1" w:rsidP="009E67B1">
      <w:pPr>
        <w:widowControl w:val="0"/>
        <w:tabs>
          <w:tab w:val="left" w:pos="2140"/>
        </w:tabs>
        <w:autoSpaceDE w:val="0"/>
        <w:autoSpaceDN w:val="0"/>
        <w:adjustRightInd w:val="0"/>
        <w:ind w:left="2124" w:right="1224" w:hanging="1742"/>
        <w:jc w:val="both"/>
        <w:rPr>
          <w:rFonts w:ascii="Century Gothic" w:hAnsi="Century Gothic"/>
          <w:color w:val="595959" w:themeColor="text1" w:themeTint="A6"/>
          <w:sz w:val="20"/>
          <w:szCs w:val="22"/>
        </w:rPr>
      </w:pPr>
    </w:p>
    <w:p w14:paraId="34897A48" w14:textId="05A795BD" w:rsidR="009E67B1" w:rsidRDefault="00492810" w:rsidP="009E67B1">
      <w:pPr>
        <w:widowControl w:val="0"/>
        <w:tabs>
          <w:tab w:val="left" w:pos="2140"/>
        </w:tabs>
        <w:autoSpaceDE w:val="0"/>
        <w:autoSpaceDN w:val="0"/>
        <w:adjustRightInd w:val="0"/>
        <w:spacing w:before="5"/>
        <w:ind w:left="2127" w:right="-7" w:hanging="1745"/>
        <w:jc w:val="both"/>
        <w:rPr>
          <w:rFonts w:ascii="Century Gothic" w:hAnsi="Century Gothic"/>
          <w:i/>
          <w:color w:val="595959" w:themeColor="text1" w:themeTint="A6"/>
        </w:rPr>
      </w:pPr>
      <w:r w:rsidRPr="00443329">
        <w:rPr>
          <w:rFonts w:ascii="Century Gothic" w:hAnsi="Century Gothic"/>
          <w:i/>
          <w:color w:val="595959" w:themeColor="text1" w:themeTint="A6"/>
        </w:rPr>
        <w:t>I</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r>
      <w:r w:rsidR="009E67B1">
        <w:rPr>
          <w:rFonts w:ascii="Century Gothic" w:hAnsi="Century Gothic"/>
          <w:i/>
          <w:color w:val="595959" w:themeColor="text1" w:themeTint="A6"/>
        </w:rPr>
        <w:t>Instituto Ecuatoriano de Seguridad Social</w:t>
      </w:r>
    </w:p>
    <w:p w14:paraId="3FD99417" w14:textId="1924E25E" w:rsidR="00492810" w:rsidRPr="00443329" w:rsidRDefault="00492810" w:rsidP="009E67B1">
      <w:pPr>
        <w:widowControl w:val="0"/>
        <w:tabs>
          <w:tab w:val="left" w:pos="2140"/>
        </w:tabs>
        <w:autoSpaceDE w:val="0"/>
        <w:autoSpaceDN w:val="0"/>
        <w:adjustRightInd w:val="0"/>
        <w:spacing w:before="5"/>
        <w:ind w:left="2127" w:right="-7" w:hanging="1745"/>
        <w:jc w:val="both"/>
        <w:rPr>
          <w:rFonts w:ascii="Century Gothic" w:hAnsi="Century Gothic"/>
          <w:i/>
          <w:color w:val="595959" w:themeColor="text1" w:themeTint="A6"/>
        </w:rPr>
      </w:pPr>
      <w:r w:rsidRPr="00443329">
        <w:rPr>
          <w:rFonts w:ascii="Century Gothic" w:hAnsi="Century Gothic"/>
          <w:i/>
          <w:color w:val="595959" w:themeColor="text1" w:themeTint="A6"/>
        </w:rPr>
        <w:t xml:space="preserve"> </w:t>
      </w:r>
    </w:p>
    <w:p w14:paraId="09282C76" w14:textId="77777777" w:rsidR="009E67B1" w:rsidRDefault="00492810" w:rsidP="009E67B1">
      <w:pPr>
        <w:widowControl w:val="0"/>
        <w:tabs>
          <w:tab w:val="left" w:pos="2140"/>
          <w:tab w:val="left" w:pos="8498"/>
        </w:tabs>
        <w:autoSpaceDE w:val="0"/>
        <w:autoSpaceDN w:val="0"/>
        <w:adjustRightInd w:val="0"/>
        <w:spacing w:before="5"/>
        <w:ind w:left="382" w:right="-7"/>
        <w:jc w:val="both"/>
        <w:rPr>
          <w:rFonts w:ascii="Century Gothic" w:hAnsi="Century Gothic"/>
          <w:i/>
          <w:color w:val="595959" w:themeColor="text1" w:themeTint="A6"/>
        </w:rPr>
      </w:pPr>
      <w:r w:rsidRPr="00443329">
        <w:rPr>
          <w:rFonts w:ascii="Century Gothic" w:hAnsi="Century Gothic"/>
          <w:i/>
          <w:color w:val="595959" w:themeColor="text1" w:themeTint="A6"/>
        </w:rPr>
        <w:t>IN</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C:</w:t>
      </w:r>
      <w:r w:rsidRPr="00443329">
        <w:rPr>
          <w:rFonts w:ascii="Century Gothic" w:hAnsi="Century Gothic"/>
          <w:i/>
          <w:color w:val="595959" w:themeColor="text1" w:themeTint="A6"/>
        </w:rPr>
        <w:tab/>
        <w:t>Inst</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t</w:t>
      </w:r>
      <w:r w:rsidRPr="00443329">
        <w:rPr>
          <w:rFonts w:ascii="Century Gothic" w:hAnsi="Century Gothic"/>
          <w:i/>
          <w:color w:val="595959" w:themeColor="text1" w:themeTint="A6"/>
          <w:spacing w:val="2"/>
        </w:rPr>
        <w:t>u</w:t>
      </w:r>
      <w:r w:rsidRPr="00443329">
        <w:rPr>
          <w:rFonts w:ascii="Century Gothic" w:hAnsi="Century Gothic"/>
          <w:i/>
          <w:color w:val="595959" w:themeColor="text1" w:themeTint="A6"/>
        </w:rPr>
        <w:t>to</w:t>
      </w:r>
      <w:r w:rsidRPr="00443329">
        <w:rPr>
          <w:rFonts w:ascii="Century Gothic" w:hAnsi="Century Gothic"/>
          <w:i/>
          <w:color w:val="595959" w:themeColor="text1" w:themeTint="A6"/>
          <w:spacing w:val="-4"/>
        </w:rPr>
        <w:t xml:space="preserve"> </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al de</w:t>
      </w:r>
      <w:r w:rsidRPr="00443329">
        <w:rPr>
          <w:rFonts w:ascii="Century Gothic" w:hAnsi="Century Gothic"/>
          <w:i/>
          <w:color w:val="595959" w:themeColor="text1" w:themeTint="A6"/>
          <w:spacing w:val="-1"/>
        </w:rPr>
        <w:t xml:space="preserve"> E</w:t>
      </w:r>
      <w:r w:rsidRPr="00443329">
        <w:rPr>
          <w:rFonts w:ascii="Century Gothic" w:hAnsi="Century Gothic"/>
          <w:i/>
          <w:color w:val="595959" w:themeColor="text1" w:themeTint="A6"/>
          <w:spacing w:val="3"/>
        </w:rPr>
        <w:t>s</w:t>
      </w:r>
      <w:r w:rsidRPr="00443329">
        <w:rPr>
          <w:rFonts w:ascii="Century Gothic" w:hAnsi="Century Gothic"/>
          <w:i/>
          <w:color w:val="595959" w:themeColor="text1" w:themeTint="A6"/>
        </w:rPr>
        <w:t>ta</w:t>
      </w:r>
      <w:r w:rsidRPr="00443329">
        <w:rPr>
          <w:rFonts w:ascii="Century Gothic" w:hAnsi="Century Gothic"/>
          <w:i/>
          <w:color w:val="595959" w:themeColor="text1" w:themeTint="A6"/>
          <w:spacing w:val="1"/>
        </w:rPr>
        <w:t>d</w:t>
      </w:r>
      <w:r w:rsidRPr="00443329">
        <w:rPr>
          <w:rFonts w:ascii="Century Gothic" w:hAnsi="Century Gothic"/>
          <w:i/>
          <w:color w:val="595959" w:themeColor="text1" w:themeTint="A6"/>
          <w:spacing w:val="2"/>
        </w:rPr>
        <w:t>í</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t</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w:t>
      </w:r>
      <w:r w:rsidR="009E67B1">
        <w:rPr>
          <w:rFonts w:ascii="Century Gothic" w:hAnsi="Century Gothic"/>
          <w:i/>
          <w:color w:val="595959" w:themeColor="text1" w:themeTint="A6"/>
        </w:rPr>
        <w:t xml:space="preserve"> </w:t>
      </w:r>
      <w:r w:rsidRPr="00443329">
        <w:rPr>
          <w:rFonts w:ascii="Century Gothic" w:hAnsi="Century Gothic"/>
          <w:i/>
          <w:color w:val="595959" w:themeColor="text1" w:themeTint="A6"/>
        </w:rPr>
        <w:t>y</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Ce</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os</w:t>
      </w:r>
    </w:p>
    <w:p w14:paraId="19131C1C" w14:textId="653E5234" w:rsidR="00492810" w:rsidRPr="00443329" w:rsidRDefault="00492810" w:rsidP="009E67B1">
      <w:pPr>
        <w:widowControl w:val="0"/>
        <w:tabs>
          <w:tab w:val="left" w:pos="2140"/>
          <w:tab w:val="left" w:pos="8498"/>
        </w:tabs>
        <w:autoSpaceDE w:val="0"/>
        <w:autoSpaceDN w:val="0"/>
        <w:adjustRightInd w:val="0"/>
        <w:spacing w:before="5"/>
        <w:ind w:left="382" w:right="-7"/>
        <w:jc w:val="both"/>
        <w:rPr>
          <w:rFonts w:ascii="Century Gothic" w:hAnsi="Century Gothic"/>
          <w:i/>
          <w:color w:val="595959" w:themeColor="text1" w:themeTint="A6"/>
          <w:sz w:val="20"/>
          <w:szCs w:val="22"/>
        </w:rPr>
      </w:pPr>
      <w:r w:rsidRPr="00443329">
        <w:rPr>
          <w:rFonts w:ascii="Century Gothic" w:hAnsi="Century Gothic"/>
          <w:i/>
          <w:color w:val="595959" w:themeColor="text1" w:themeTint="A6"/>
        </w:rPr>
        <w:t xml:space="preserve"> </w:t>
      </w:r>
    </w:p>
    <w:p w14:paraId="0D2A2B47" w14:textId="656C72C3" w:rsidR="00492810" w:rsidRDefault="00492810" w:rsidP="009E67B1">
      <w:pPr>
        <w:widowControl w:val="0"/>
        <w:tabs>
          <w:tab w:val="left" w:pos="2140"/>
        </w:tabs>
        <w:autoSpaceDE w:val="0"/>
        <w:autoSpaceDN w:val="0"/>
        <w:adjustRightInd w:val="0"/>
        <w:spacing w:before="5"/>
        <w:ind w:left="382" w:right="2633"/>
        <w:jc w:val="both"/>
        <w:rPr>
          <w:rFonts w:ascii="Century Gothic" w:hAnsi="Century Gothic"/>
          <w:i/>
          <w:color w:val="595959" w:themeColor="text1" w:themeTint="A6"/>
        </w:rPr>
      </w:pPr>
      <w:r w:rsidRPr="00443329">
        <w:rPr>
          <w:rFonts w:ascii="Century Gothic" w:hAnsi="Century Gothic"/>
          <w:i/>
          <w:color w:val="595959" w:themeColor="text1" w:themeTint="A6"/>
        </w:rPr>
        <w:t>I</w:t>
      </w:r>
      <w:r w:rsidRPr="00443329">
        <w:rPr>
          <w:rFonts w:ascii="Century Gothic" w:hAnsi="Century Gothic"/>
          <w:i/>
          <w:color w:val="595959" w:themeColor="text1" w:themeTint="A6"/>
          <w:spacing w:val="-1"/>
        </w:rPr>
        <w:t>VA</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t>Im</w:t>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spacing w:val="2"/>
        </w:rPr>
        <w:t>u</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to</w:t>
      </w:r>
      <w:r w:rsidRPr="00443329">
        <w:rPr>
          <w:rFonts w:ascii="Century Gothic" w:hAnsi="Century Gothic"/>
          <w:i/>
          <w:color w:val="595959" w:themeColor="text1" w:themeTint="A6"/>
          <w:spacing w:val="-3"/>
        </w:rPr>
        <w:t xml:space="preserve"> </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l</w:t>
      </w:r>
      <w:r w:rsidRPr="00443329">
        <w:rPr>
          <w:rFonts w:ascii="Century Gothic" w:hAnsi="Century Gothic"/>
          <w:i/>
          <w:color w:val="595959" w:themeColor="text1" w:themeTint="A6"/>
          <w:spacing w:val="-2"/>
        </w:rPr>
        <w:t xml:space="preserve"> </w:t>
      </w:r>
      <w:r w:rsidR="009E67B1">
        <w:rPr>
          <w:rFonts w:ascii="Century Gothic" w:hAnsi="Century Gothic"/>
          <w:i/>
          <w:color w:val="595959" w:themeColor="text1" w:themeTint="A6"/>
          <w:spacing w:val="1"/>
        </w:rPr>
        <w:t>V</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rPr>
        <w:t>or</w:t>
      </w:r>
      <w:r w:rsidRPr="00443329">
        <w:rPr>
          <w:rFonts w:ascii="Century Gothic" w:hAnsi="Century Gothic"/>
          <w:i/>
          <w:color w:val="595959" w:themeColor="text1" w:themeTint="A6"/>
          <w:spacing w:val="-1"/>
        </w:rPr>
        <w:t xml:space="preserve"> </w:t>
      </w:r>
      <w:r w:rsidR="009E67B1">
        <w:rPr>
          <w:rFonts w:ascii="Century Gothic" w:hAnsi="Century Gothic"/>
          <w:i/>
          <w:color w:val="595959" w:themeColor="text1" w:themeTint="A6"/>
          <w:spacing w:val="-1"/>
        </w:rPr>
        <w:t>A</w:t>
      </w:r>
      <w:r w:rsidRPr="00443329">
        <w:rPr>
          <w:rFonts w:ascii="Century Gothic" w:hAnsi="Century Gothic"/>
          <w:i/>
          <w:color w:val="595959" w:themeColor="text1" w:themeTint="A6"/>
        </w:rPr>
        <w:t>g</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g</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do</w:t>
      </w:r>
    </w:p>
    <w:p w14:paraId="0C7B95A2" w14:textId="77777777" w:rsidR="009E67B1" w:rsidRPr="00443329" w:rsidRDefault="009E67B1" w:rsidP="009E67B1">
      <w:pPr>
        <w:widowControl w:val="0"/>
        <w:tabs>
          <w:tab w:val="left" w:pos="2140"/>
        </w:tabs>
        <w:autoSpaceDE w:val="0"/>
        <w:autoSpaceDN w:val="0"/>
        <w:adjustRightInd w:val="0"/>
        <w:spacing w:before="5"/>
        <w:ind w:left="382" w:right="2633"/>
        <w:jc w:val="both"/>
        <w:rPr>
          <w:rFonts w:ascii="Century Gothic" w:hAnsi="Century Gothic"/>
          <w:color w:val="595959" w:themeColor="text1" w:themeTint="A6"/>
        </w:rPr>
      </w:pPr>
    </w:p>
    <w:p w14:paraId="25CAF2C0" w14:textId="77777777" w:rsidR="00492810" w:rsidRDefault="00492810" w:rsidP="009E67B1">
      <w:pPr>
        <w:widowControl w:val="0"/>
        <w:tabs>
          <w:tab w:val="left" w:pos="2140"/>
        </w:tabs>
        <w:autoSpaceDE w:val="0"/>
        <w:autoSpaceDN w:val="0"/>
        <w:adjustRightInd w:val="0"/>
        <w:spacing w:before="3"/>
        <w:ind w:left="382"/>
        <w:jc w:val="both"/>
        <w:rPr>
          <w:rFonts w:ascii="Century Gothic" w:hAnsi="Century Gothic"/>
          <w:i/>
          <w:color w:val="595959" w:themeColor="text1" w:themeTint="A6"/>
        </w:rPr>
      </w:pPr>
      <w:r w:rsidRPr="00443329">
        <w:rPr>
          <w:rFonts w:ascii="Century Gothic" w:hAnsi="Century Gothic"/>
          <w:i/>
          <w:color w:val="595959" w:themeColor="text1" w:themeTint="A6"/>
        </w:rPr>
        <w:t>RI</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t>Rég</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2"/>
        </w:rPr>
        <w:t>e</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4"/>
        </w:rPr>
        <w:t xml:space="preserve"> </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m</w:t>
      </w:r>
      <w:r w:rsidRPr="00443329">
        <w:rPr>
          <w:rFonts w:ascii="Century Gothic" w:hAnsi="Century Gothic"/>
          <w:i/>
          <w:color w:val="595959" w:themeColor="text1" w:themeTint="A6"/>
        </w:rPr>
        <w:t>p</w:t>
      </w:r>
      <w:r w:rsidRPr="00443329">
        <w:rPr>
          <w:rFonts w:ascii="Century Gothic" w:hAnsi="Century Gothic"/>
          <w:i/>
          <w:color w:val="595959" w:themeColor="text1" w:themeTint="A6"/>
          <w:spacing w:val="-1"/>
        </w:rPr>
        <w:t>o</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t</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v</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m</w:t>
      </w:r>
      <w:r w:rsidRPr="00443329">
        <w:rPr>
          <w:rFonts w:ascii="Century Gothic" w:hAnsi="Century Gothic"/>
          <w:i/>
          <w:color w:val="595959" w:themeColor="text1" w:themeTint="A6"/>
          <w:spacing w:val="-1"/>
        </w:rPr>
        <w:t>p</w:t>
      </w:r>
      <w:r w:rsidRPr="00443329">
        <w:rPr>
          <w:rFonts w:ascii="Century Gothic" w:hAnsi="Century Gothic"/>
          <w:i/>
          <w:color w:val="595959" w:themeColor="text1" w:themeTint="A6"/>
          <w:spacing w:val="1"/>
        </w:rPr>
        <w:t>l</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f</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d</w:t>
      </w:r>
      <w:r w:rsidRPr="00443329">
        <w:rPr>
          <w:rFonts w:ascii="Century Gothic" w:hAnsi="Century Gothic"/>
          <w:i/>
          <w:color w:val="595959" w:themeColor="text1" w:themeTint="A6"/>
        </w:rPr>
        <w:t>o</w:t>
      </w:r>
    </w:p>
    <w:p w14:paraId="7C2825D0" w14:textId="77777777" w:rsidR="009E67B1" w:rsidRPr="00443329" w:rsidRDefault="009E67B1" w:rsidP="009E67B1">
      <w:pPr>
        <w:widowControl w:val="0"/>
        <w:tabs>
          <w:tab w:val="left" w:pos="2140"/>
        </w:tabs>
        <w:autoSpaceDE w:val="0"/>
        <w:autoSpaceDN w:val="0"/>
        <w:adjustRightInd w:val="0"/>
        <w:spacing w:before="3"/>
        <w:ind w:left="382"/>
        <w:jc w:val="both"/>
        <w:rPr>
          <w:rFonts w:ascii="Century Gothic" w:hAnsi="Century Gothic"/>
          <w:i/>
          <w:color w:val="595959" w:themeColor="text1" w:themeTint="A6"/>
          <w:sz w:val="20"/>
          <w:szCs w:val="22"/>
        </w:rPr>
      </w:pPr>
    </w:p>
    <w:p w14:paraId="75CF6CD0" w14:textId="77777777" w:rsidR="00492810" w:rsidRDefault="00492810" w:rsidP="009E67B1">
      <w:pPr>
        <w:widowControl w:val="0"/>
        <w:tabs>
          <w:tab w:val="left" w:pos="2140"/>
        </w:tabs>
        <w:autoSpaceDE w:val="0"/>
        <w:autoSpaceDN w:val="0"/>
        <w:adjustRightInd w:val="0"/>
        <w:spacing w:before="3"/>
        <w:ind w:left="382"/>
        <w:jc w:val="both"/>
        <w:rPr>
          <w:rFonts w:ascii="Century Gothic" w:hAnsi="Century Gothic"/>
          <w:i/>
          <w:color w:val="595959" w:themeColor="text1" w:themeTint="A6"/>
        </w:rPr>
      </w:pPr>
      <w:r w:rsidRPr="00443329">
        <w:rPr>
          <w:rFonts w:ascii="Century Gothic" w:hAnsi="Century Gothic"/>
          <w:i/>
          <w:color w:val="595959" w:themeColor="text1" w:themeTint="A6"/>
        </w:rPr>
        <w:t>SCN</w:t>
      </w:r>
      <w:r w:rsidRPr="00443329">
        <w:rPr>
          <w:rFonts w:ascii="Century Gothic" w:hAnsi="Century Gothic"/>
          <w:i/>
          <w:color w:val="595959" w:themeColor="text1" w:themeTint="A6"/>
        </w:rPr>
        <w:tab/>
        <w:t>Sistema de Cuentas Nacionales</w:t>
      </w:r>
    </w:p>
    <w:p w14:paraId="2B3FA515" w14:textId="77777777" w:rsidR="009E67B1" w:rsidRPr="00443329" w:rsidRDefault="009E67B1" w:rsidP="009E67B1">
      <w:pPr>
        <w:widowControl w:val="0"/>
        <w:tabs>
          <w:tab w:val="left" w:pos="2140"/>
        </w:tabs>
        <w:autoSpaceDE w:val="0"/>
        <w:autoSpaceDN w:val="0"/>
        <w:adjustRightInd w:val="0"/>
        <w:spacing w:before="3"/>
        <w:ind w:left="382"/>
        <w:jc w:val="both"/>
        <w:rPr>
          <w:rFonts w:ascii="Century Gothic" w:hAnsi="Century Gothic"/>
          <w:i/>
          <w:color w:val="595959" w:themeColor="text1" w:themeTint="A6"/>
          <w:sz w:val="20"/>
          <w:szCs w:val="22"/>
        </w:rPr>
      </w:pPr>
    </w:p>
    <w:p w14:paraId="318E6931" w14:textId="77777777" w:rsidR="00492810" w:rsidRDefault="00492810" w:rsidP="009E67B1">
      <w:pPr>
        <w:widowControl w:val="0"/>
        <w:tabs>
          <w:tab w:val="left" w:pos="2140"/>
        </w:tabs>
        <w:autoSpaceDE w:val="0"/>
        <w:autoSpaceDN w:val="0"/>
        <w:adjustRightInd w:val="0"/>
        <w:spacing w:before="3"/>
        <w:ind w:left="382"/>
        <w:jc w:val="both"/>
        <w:rPr>
          <w:rFonts w:ascii="Century Gothic" w:hAnsi="Century Gothic"/>
          <w:i/>
          <w:color w:val="595959" w:themeColor="text1" w:themeTint="A6"/>
        </w:rPr>
      </w:pPr>
      <w:r w:rsidRPr="00443329">
        <w:rPr>
          <w:rFonts w:ascii="Century Gothic" w:hAnsi="Century Gothic"/>
          <w:i/>
          <w:color w:val="595959" w:themeColor="text1" w:themeTint="A6"/>
        </w:rPr>
        <w:t>SENPLADES:</w:t>
      </w:r>
      <w:r w:rsidRPr="00443329">
        <w:rPr>
          <w:rFonts w:ascii="Century Gothic" w:hAnsi="Century Gothic"/>
          <w:i/>
          <w:color w:val="595959" w:themeColor="text1" w:themeTint="A6"/>
        </w:rPr>
        <w:tab/>
        <w:t>Secretaría Nacional de Planificación y Desarrollo</w:t>
      </w:r>
    </w:p>
    <w:p w14:paraId="43ACEEAB" w14:textId="77777777" w:rsidR="009E67B1" w:rsidRPr="00443329" w:rsidRDefault="009E67B1" w:rsidP="009E67B1">
      <w:pPr>
        <w:widowControl w:val="0"/>
        <w:tabs>
          <w:tab w:val="left" w:pos="2140"/>
        </w:tabs>
        <w:autoSpaceDE w:val="0"/>
        <w:autoSpaceDN w:val="0"/>
        <w:adjustRightInd w:val="0"/>
        <w:spacing w:before="3"/>
        <w:ind w:left="382"/>
        <w:jc w:val="both"/>
        <w:rPr>
          <w:rFonts w:ascii="Century Gothic" w:hAnsi="Century Gothic"/>
          <w:color w:val="595959" w:themeColor="text1" w:themeTint="A6"/>
          <w:sz w:val="20"/>
          <w:szCs w:val="22"/>
        </w:rPr>
      </w:pPr>
    </w:p>
    <w:p w14:paraId="3F663991" w14:textId="6130B7CF" w:rsidR="00492810" w:rsidRPr="00443329" w:rsidRDefault="00492810" w:rsidP="009E67B1">
      <w:pPr>
        <w:widowControl w:val="0"/>
        <w:tabs>
          <w:tab w:val="left" w:pos="2140"/>
        </w:tabs>
        <w:autoSpaceDE w:val="0"/>
        <w:autoSpaceDN w:val="0"/>
        <w:adjustRightInd w:val="0"/>
        <w:ind w:left="2124" w:hanging="1742"/>
        <w:jc w:val="both"/>
        <w:rPr>
          <w:rFonts w:ascii="Century Gothic" w:hAnsi="Century Gothic"/>
          <w:color w:val="595959" w:themeColor="text1" w:themeTint="A6"/>
        </w:rPr>
      </w:pP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spacing w:val="1"/>
        </w:rPr>
        <w:t>G</w:t>
      </w:r>
      <w:r w:rsidRPr="00443329">
        <w:rPr>
          <w:rFonts w:ascii="Century Gothic" w:hAnsi="Century Gothic"/>
          <w:i/>
          <w:color w:val="595959" w:themeColor="text1" w:themeTint="A6"/>
        </w:rPr>
        <w:t>C</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2"/>
        </w:rPr>
        <w:t>N</w:t>
      </w:r>
      <w:r w:rsidR="009E67B1">
        <w:rPr>
          <w:rFonts w:ascii="Century Gothic" w:hAnsi="Century Gothic"/>
          <w:i/>
          <w:color w:val="595959" w:themeColor="text1" w:themeTint="A6"/>
        </w:rPr>
        <w:t xml:space="preserve">: </w:t>
      </w:r>
      <w:r w:rsidR="009E67B1">
        <w:rPr>
          <w:rFonts w:ascii="Century Gothic" w:hAnsi="Century Gothic"/>
          <w:i/>
          <w:color w:val="595959" w:themeColor="text1" w:themeTint="A6"/>
        </w:rPr>
        <w:tab/>
      </w:r>
      <w:r w:rsidR="009E67B1">
        <w:rPr>
          <w:rFonts w:ascii="Century Gothic" w:hAnsi="Century Gothic"/>
          <w:i/>
          <w:color w:val="595959" w:themeColor="text1" w:themeTint="A6"/>
        </w:rPr>
        <w:tab/>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cr</w:t>
      </w:r>
      <w:r w:rsidRPr="00443329">
        <w:rPr>
          <w:rFonts w:ascii="Century Gothic" w:hAnsi="Century Gothic"/>
          <w:i/>
          <w:color w:val="595959" w:themeColor="text1" w:themeTint="A6"/>
        </w:rPr>
        <w:t>et</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1"/>
        </w:rPr>
        <w:t>r</w:t>
      </w:r>
      <w:r w:rsidRPr="00443329">
        <w:rPr>
          <w:rFonts w:ascii="Century Gothic" w:hAnsi="Century Gothic"/>
          <w:i/>
          <w:color w:val="595959" w:themeColor="text1" w:themeTint="A6"/>
        </w:rPr>
        <w:t>ía</w:t>
      </w:r>
      <w:r w:rsidRPr="00443329">
        <w:rPr>
          <w:rFonts w:ascii="Century Gothic" w:hAnsi="Century Gothic"/>
          <w:i/>
          <w:color w:val="595959" w:themeColor="text1" w:themeTint="A6"/>
          <w:spacing w:val="1"/>
        </w:rPr>
        <w:t xml:space="preserve"> G</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3"/>
        </w:rPr>
        <w:t>r</w:t>
      </w:r>
      <w:r w:rsidRPr="00443329">
        <w:rPr>
          <w:rFonts w:ascii="Century Gothic" w:hAnsi="Century Gothic"/>
          <w:i/>
          <w:color w:val="595959" w:themeColor="text1" w:themeTint="A6"/>
        </w:rPr>
        <w:t>al</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de</w:t>
      </w:r>
      <w:r w:rsidRPr="00443329">
        <w:rPr>
          <w:rFonts w:ascii="Century Gothic" w:hAnsi="Century Gothic"/>
          <w:i/>
          <w:color w:val="595959" w:themeColor="text1" w:themeTint="A6"/>
          <w:spacing w:val="-1"/>
        </w:rPr>
        <w:t xml:space="preserve"> l</w:t>
      </w:r>
      <w:r w:rsidRPr="00443329">
        <w:rPr>
          <w:rFonts w:ascii="Century Gothic" w:hAnsi="Century Gothic"/>
          <w:i/>
          <w:color w:val="595959" w:themeColor="text1" w:themeTint="A6"/>
        </w:rPr>
        <w:t xml:space="preserve">a </w:t>
      </w:r>
      <w:r w:rsidRPr="00443329">
        <w:rPr>
          <w:rFonts w:ascii="Century Gothic" w:hAnsi="Century Gothic"/>
          <w:i/>
          <w:color w:val="595959" w:themeColor="text1" w:themeTint="A6"/>
          <w:spacing w:val="2"/>
        </w:rPr>
        <w:t>C</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m</w:t>
      </w:r>
      <w:r w:rsidRPr="00443329">
        <w:rPr>
          <w:rFonts w:ascii="Century Gothic" w:hAnsi="Century Gothic"/>
          <w:i/>
          <w:color w:val="595959" w:themeColor="text1" w:themeTint="A6"/>
        </w:rPr>
        <w:t>u</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d</w:t>
      </w:r>
      <w:r w:rsidRPr="00443329">
        <w:rPr>
          <w:rFonts w:ascii="Century Gothic" w:hAnsi="Century Gothic"/>
          <w:i/>
          <w:color w:val="595959" w:themeColor="text1" w:themeTint="A6"/>
        </w:rPr>
        <w:t xml:space="preserve">ad </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d</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n</w:t>
      </w:r>
      <w:r w:rsidRPr="00443329">
        <w:rPr>
          <w:rFonts w:ascii="Century Gothic" w:hAnsi="Century Gothic"/>
          <w:i/>
          <w:color w:val="595959" w:themeColor="text1" w:themeTint="A6"/>
        </w:rPr>
        <w:t>a</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spacing w:val="1"/>
        </w:rPr>
        <w:t>d</w:t>
      </w:r>
      <w:r w:rsidRPr="00443329">
        <w:rPr>
          <w:rFonts w:ascii="Century Gothic" w:hAnsi="Century Gothic"/>
          <w:i/>
          <w:color w:val="595959" w:themeColor="text1" w:themeTint="A6"/>
        </w:rPr>
        <w:t>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a</w:t>
      </w:r>
      <w:r w:rsidRPr="00443329">
        <w:rPr>
          <w:rFonts w:ascii="Century Gothic" w:hAnsi="Century Gothic"/>
          <w:i/>
          <w:color w:val="595959" w:themeColor="text1" w:themeTint="A6"/>
          <w:spacing w:val="1"/>
        </w:rPr>
        <w:t>ci</w:t>
      </w:r>
      <w:r w:rsidRPr="00443329">
        <w:rPr>
          <w:rFonts w:ascii="Century Gothic" w:hAnsi="Century Gothic"/>
          <w:i/>
          <w:color w:val="595959" w:themeColor="text1" w:themeTint="A6"/>
          <w:spacing w:val="2"/>
        </w:rPr>
        <w:t>o</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s</w:t>
      </w:r>
    </w:p>
    <w:p w14:paraId="4FBB556E"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60C92A0F" w14:textId="77777777" w:rsidR="00492810" w:rsidRPr="00443329" w:rsidRDefault="00492810" w:rsidP="009E67B1">
      <w:pPr>
        <w:widowControl w:val="0"/>
        <w:tabs>
          <w:tab w:val="left" w:pos="2140"/>
        </w:tabs>
        <w:autoSpaceDE w:val="0"/>
        <w:autoSpaceDN w:val="0"/>
        <w:adjustRightInd w:val="0"/>
        <w:ind w:left="382"/>
        <w:jc w:val="both"/>
        <w:rPr>
          <w:rFonts w:ascii="Century Gothic" w:hAnsi="Century Gothic"/>
          <w:color w:val="595959" w:themeColor="text1" w:themeTint="A6"/>
        </w:rPr>
      </w:pP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RI:</w:t>
      </w:r>
      <w:r w:rsidRPr="00443329">
        <w:rPr>
          <w:rFonts w:ascii="Century Gothic" w:hAnsi="Century Gothic"/>
          <w:i/>
          <w:color w:val="595959" w:themeColor="text1" w:themeTint="A6"/>
        </w:rPr>
        <w:tab/>
      </w:r>
      <w:r w:rsidRPr="00443329">
        <w:rPr>
          <w:rFonts w:ascii="Century Gothic" w:hAnsi="Century Gothic"/>
          <w:i/>
          <w:color w:val="595959" w:themeColor="text1" w:themeTint="A6"/>
          <w:spacing w:val="-1"/>
        </w:rPr>
        <w:t>S</w:t>
      </w:r>
      <w:r w:rsidRPr="00443329">
        <w:rPr>
          <w:rFonts w:ascii="Century Gothic" w:hAnsi="Century Gothic"/>
          <w:i/>
          <w:color w:val="595959" w:themeColor="text1" w:themeTint="A6"/>
        </w:rPr>
        <w:t>er</w:t>
      </w:r>
      <w:r w:rsidRPr="00443329">
        <w:rPr>
          <w:rFonts w:ascii="Century Gothic" w:hAnsi="Century Gothic"/>
          <w:i/>
          <w:color w:val="595959" w:themeColor="text1" w:themeTint="A6"/>
          <w:spacing w:val="2"/>
        </w:rPr>
        <w:t>v</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1"/>
        </w:rPr>
        <w:t>c</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rPr>
        <w:t>o</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de</w:t>
      </w:r>
      <w:r w:rsidRPr="00443329">
        <w:rPr>
          <w:rFonts w:ascii="Century Gothic" w:hAnsi="Century Gothic"/>
          <w:i/>
          <w:color w:val="595959" w:themeColor="text1" w:themeTint="A6"/>
          <w:spacing w:val="-1"/>
        </w:rPr>
        <w:t xml:space="preserve"> </w:t>
      </w:r>
      <w:r w:rsidRPr="00443329">
        <w:rPr>
          <w:rFonts w:ascii="Century Gothic" w:hAnsi="Century Gothic"/>
          <w:i/>
          <w:color w:val="595959" w:themeColor="text1" w:themeTint="A6"/>
        </w:rPr>
        <w:t>Ren</w:t>
      </w:r>
      <w:r w:rsidRPr="00443329">
        <w:rPr>
          <w:rFonts w:ascii="Century Gothic" w:hAnsi="Century Gothic"/>
          <w:i/>
          <w:color w:val="595959" w:themeColor="text1" w:themeTint="A6"/>
          <w:spacing w:val="1"/>
        </w:rPr>
        <w:t>t</w:t>
      </w:r>
      <w:r w:rsidRPr="00443329">
        <w:rPr>
          <w:rFonts w:ascii="Century Gothic" w:hAnsi="Century Gothic"/>
          <w:i/>
          <w:color w:val="595959" w:themeColor="text1" w:themeTint="A6"/>
        </w:rPr>
        <w:t>as</w:t>
      </w:r>
      <w:r w:rsidRPr="00443329">
        <w:rPr>
          <w:rFonts w:ascii="Century Gothic" w:hAnsi="Century Gothic"/>
          <w:i/>
          <w:color w:val="595959" w:themeColor="text1" w:themeTint="A6"/>
          <w:spacing w:val="-3"/>
        </w:rPr>
        <w:t xml:space="preserve"> </w:t>
      </w:r>
      <w:r w:rsidRPr="00443329">
        <w:rPr>
          <w:rFonts w:ascii="Century Gothic" w:hAnsi="Century Gothic"/>
          <w:i/>
          <w:color w:val="595959" w:themeColor="text1" w:themeTint="A6"/>
        </w:rPr>
        <w:t>I</w:t>
      </w:r>
      <w:r w:rsidRPr="00443329">
        <w:rPr>
          <w:rFonts w:ascii="Century Gothic" w:hAnsi="Century Gothic"/>
          <w:i/>
          <w:color w:val="595959" w:themeColor="text1" w:themeTint="A6"/>
          <w:spacing w:val="-1"/>
        </w:rPr>
        <w:t>n</w:t>
      </w:r>
      <w:r w:rsidRPr="00443329">
        <w:rPr>
          <w:rFonts w:ascii="Century Gothic" w:hAnsi="Century Gothic"/>
          <w:i/>
          <w:color w:val="595959" w:themeColor="text1" w:themeTint="A6"/>
          <w:spacing w:val="2"/>
        </w:rPr>
        <w:t>t</w:t>
      </w:r>
      <w:r w:rsidRPr="00443329">
        <w:rPr>
          <w:rFonts w:ascii="Century Gothic" w:hAnsi="Century Gothic"/>
          <w:i/>
          <w:color w:val="595959" w:themeColor="text1" w:themeTint="A6"/>
        </w:rPr>
        <w:t>ern</w:t>
      </w:r>
      <w:r w:rsidRPr="00443329">
        <w:rPr>
          <w:rFonts w:ascii="Century Gothic" w:hAnsi="Century Gothic"/>
          <w:i/>
          <w:color w:val="595959" w:themeColor="text1" w:themeTint="A6"/>
          <w:spacing w:val="2"/>
        </w:rPr>
        <w:t>a</w:t>
      </w:r>
      <w:r w:rsidRPr="00443329">
        <w:rPr>
          <w:rFonts w:ascii="Century Gothic" w:hAnsi="Century Gothic"/>
          <w:i/>
          <w:color w:val="595959" w:themeColor="text1" w:themeTint="A6"/>
        </w:rPr>
        <w:t>s</w:t>
      </w:r>
    </w:p>
    <w:p w14:paraId="205F7E22" w14:textId="77777777" w:rsidR="00492810" w:rsidRPr="00443329" w:rsidRDefault="00492810" w:rsidP="009E67B1">
      <w:pPr>
        <w:widowControl w:val="0"/>
        <w:autoSpaceDE w:val="0"/>
        <w:autoSpaceDN w:val="0"/>
        <w:adjustRightInd w:val="0"/>
        <w:jc w:val="both"/>
        <w:rPr>
          <w:rFonts w:ascii="Century Gothic" w:hAnsi="Century Gothic"/>
          <w:color w:val="595959" w:themeColor="text1" w:themeTint="A6"/>
        </w:rPr>
      </w:pPr>
    </w:p>
    <w:p w14:paraId="0A769B6C" w14:textId="77777777" w:rsidR="00492810" w:rsidRDefault="00492810" w:rsidP="009E67B1">
      <w:pPr>
        <w:widowControl w:val="0"/>
        <w:tabs>
          <w:tab w:val="left" w:pos="2140"/>
        </w:tabs>
        <w:autoSpaceDE w:val="0"/>
        <w:autoSpaceDN w:val="0"/>
        <w:adjustRightInd w:val="0"/>
        <w:ind w:left="382"/>
        <w:jc w:val="both"/>
        <w:rPr>
          <w:rFonts w:ascii="Century Gothic" w:hAnsi="Century Gothic"/>
          <w:i/>
          <w:color w:val="595959" w:themeColor="text1" w:themeTint="A6"/>
        </w:rPr>
      </w:pPr>
      <w:r w:rsidRPr="00443329">
        <w:rPr>
          <w:rFonts w:ascii="Century Gothic" w:hAnsi="Century Gothic"/>
          <w:i/>
          <w:color w:val="595959" w:themeColor="text1" w:themeTint="A6"/>
        </w:rPr>
        <w:t>U</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w:t>
      </w:r>
      <w:r w:rsidRPr="00443329">
        <w:rPr>
          <w:rFonts w:ascii="Century Gothic" w:hAnsi="Century Gothic"/>
          <w:i/>
          <w:color w:val="595959" w:themeColor="text1" w:themeTint="A6"/>
        </w:rPr>
        <w:tab/>
        <w:t>Un</w:t>
      </w:r>
      <w:r w:rsidRPr="00443329">
        <w:rPr>
          <w:rFonts w:ascii="Century Gothic" w:hAnsi="Century Gothic"/>
          <w:i/>
          <w:color w:val="595959" w:themeColor="text1" w:themeTint="A6"/>
          <w:spacing w:val="-1"/>
        </w:rPr>
        <w:t>i</w:t>
      </w:r>
      <w:r w:rsidRPr="00443329">
        <w:rPr>
          <w:rFonts w:ascii="Century Gothic" w:hAnsi="Century Gothic"/>
          <w:i/>
          <w:color w:val="595959" w:themeColor="text1" w:themeTint="A6"/>
          <w:spacing w:val="2"/>
        </w:rPr>
        <w:t>ó</w:t>
      </w:r>
      <w:r w:rsidRPr="00443329">
        <w:rPr>
          <w:rFonts w:ascii="Century Gothic" w:hAnsi="Century Gothic"/>
          <w:i/>
          <w:color w:val="595959" w:themeColor="text1" w:themeTint="A6"/>
        </w:rPr>
        <w:t>n</w:t>
      </w:r>
      <w:r w:rsidRPr="00443329">
        <w:rPr>
          <w:rFonts w:ascii="Century Gothic" w:hAnsi="Century Gothic"/>
          <w:i/>
          <w:color w:val="595959" w:themeColor="text1" w:themeTint="A6"/>
          <w:spacing w:val="-3"/>
        </w:rPr>
        <w:t xml:space="preserve"> </w:t>
      </w:r>
      <w:r w:rsidRPr="00443329">
        <w:rPr>
          <w:rFonts w:ascii="Century Gothic" w:hAnsi="Century Gothic"/>
          <w:i/>
          <w:color w:val="595959" w:themeColor="text1" w:themeTint="A6"/>
          <w:spacing w:val="1"/>
        </w:rPr>
        <w:t>E</w:t>
      </w:r>
      <w:r w:rsidRPr="00443329">
        <w:rPr>
          <w:rFonts w:ascii="Century Gothic" w:hAnsi="Century Gothic"/>
          <w:i/>
          <w:color w:val="595959" w:themeColor="text1" w:themeTint="A6"/>
        </w:rPr>
        <w:t>uro</w:t>
      </w:r>
      <w:r w:rsidRPr="00443329">
        <w:rPr>
          <w:rFonts w:ascii="Century Gothic" w:hAnsi="Century Gothic"/>
          <w:i/>
          <w:color w:val="595959" w:themeColor="text1" w:themeTint="A6"/>
          <w:spacing w:val="2"/>
        </w:rPr>
        <w:t>p</w:t>
      </w:r>
      <w:r w:rsidRPr="00443329">
        <w:rPr>
          <w:rFonts w:ascii="Century Gothic" w:hAnsi="Century Gothic"/>
          <w:i/>
          <w:color w:val="595959" w:themeColor="text1" w:themeTint="A6"/>
        </w:rPr>
        <w:t>ea</w:t>
      </w:r>
    </w:p>
    <w:p w14:paraId="744FCEB2" w14:textId="261671AC" w:rsidR="00492810" w:rsidRPr="00443329" w:rsidRDefault="00492810" w:rsidP="00B04121">
      <w:pPr>
        <w:pStyle w:val="TITULOINEC"/>
        <w:outlineLvl w:val="0"/>
      </w:pPr>
      <w:bookmarkStart w:id="2" w:name="_Toc381774254"/>
      <w:bookmarkStart w:id="3" w:name="_Toc382901670"/>
      <w:bookmarkStart w:id="4" w:name="_Toc412998099"/>
      <w:bookmarkStart w:id="5" w:name="_Toc53757405"/>
      <w:r w:rsidRPr="00443329">
        <w:t>INTRODUCCIÓN</w:t>
      </w:r>
      <w:bookmarkEnd w:id="2"/>
      <w:bookmarkEnd w:id="3"/>
      <w:bookmarkEnd w:id="4"/>
      <w:bookmarkEnd w:id="5"/>
    </w:p>
    <w:p w14:paraId="34B96F03" w14:textId="77777777" w:rsidR="00492810" w:rsidRPr="00527E0F" w:rsidRDefault="00492810" w:rsidP="00CF0C1E">
      <w:pPr>
        <w:rPr>
          <w:rFonts w:ascii="Century Gothic" w:hAnsi="Century Gothic" w:cs="Arial"/>
          <w:color w:val="595959" w:themeColor="text1" w:themeTint="A6"/>
          <w:lang w:eastAsia="es-EC"/>
        </w:rPr>
      </w:pPr>
    </w:p>
    <w:p w14:paraId="48E492BE" w14:textId="05019802" w:rsidR="00492810" w:rsidRDefault="00492810" w:rsidP="00443329">
      <w:pPr>
        <w:jc w:val="both"/>
        <w:rPr>
          <w:rFonts w:ascii="Century Gothic" w:hAnsi="Century Gothic"/>
          <w:color w:val="595959" w:themeColor="text1" w:themeTint="A6"/>
          <w:lang w:val="es-ES"/>
        </w:rPr>
      </w:pPr>
      <w:r w:rsidRPr="00527E0F">
        <w:rPr>
          <w:rFonts w:ascii="Century Gothic" w:hAnsi="Century Gothic"/>
          <w:color w:val="595959" w:themeColor="text1" w:themeTint="A6"/>
          <w:lang w:val="es-ES"/>
        </w:rPr>
        <w:t>El Directorio de Empresas y Establecimientos (DIEE) del Instituto Nacional de Estadística y Censos (INEC) inicia en 2009 con el propósito de proveer información estadística exhaustiva y actualizada sobre empresas y establecimientos a partir de registros administrativos; además sirve como marco muestral para encuestas económicas y sociales, análisis estadísticos, de mercado y demografía empresarial.</w:t>
      </w:r>
    </w:p>
    <w:p w14:paraId="29314517" w14:textId="77777777" w:rsidR="00443329" w:rsidRPr="00527E0F" w:rsidRDefault="00443329" w:rsidP="00443329">
      <w:pPr>
        <w:jc w:val="both"/>
        <w:rPr>
          <w:rFonts w:ascii="Century Gothic" w:hAnsi="Century Gothic"/>
          <w:color w:val="595959" w:themeColor="text1" w:themeTint="A6"/>
          <w:lang w:val="es-ES"/>
        </w:rPr>
      </w:pPr>
    </w:p>
    <w:p w14:paraId="03DE55E6" w14:textId="02ADBBD7" w:rsidR="00492810" w:rsidRDefault="00492810" w:rsidP="00443329">
      <w:pPr>
        <w:jc w:val="both"/>
        <w:rPr>
          <w:rFonts w:ascii="Century Gothic" w:hAnsi="Century Gothic"/>
          <w:color w:val="595959" w:themeColor="text1" w:themeTint="A6"/>
          <w:lang w:val="es-ES"/>
        </w:rPr>
      </w:pPr>
      <w:r w:rsidRPr="00527E0F">
        <w:rPr>
          <w:rFonts w:ascii="Century Gothic" w:hAnsi="Century Gothic"/>
          <w:color w:val="595959" w:themeColor="text1" w:themeTint="A6"/>
          <w:lang w:val="es-ES"/>
        </w:rPr>
        <w:t>Desde su inicio, esta operación estadística ha seguido las recomendaciones citadas en la Decisión 698 emitida por la Comunidad Andina de Naciones (CAN), adoptando conceptos, nomenclaturas y definiciones establecidas en los diferentes documentos creados para el efecto, a fin de garantizar la comparabilidad con las estadísticas económicas – empresariales de los países miembros de la CAN y de la región en general.</w:t>
      </w:r>
    </w:p>
    <w:p w14:paraId="5E0BC7EC" w14:textId="77777777" w:rsidR="00443329" w:rsidRPr="00527E0F" w:rsidRDefault="00443329" w:rsidP="00443329">
      <w:pPr>
        <w:jc w:val="both"/>
        <w:rPr>
          <w:rFonts w:ascii="Century Gothic" w:hAnsi="Century Gothic"/>
          <w:color w:val="595959" w:themeColor="text1" w:themeTint="A6"/>
          <w:lang w:val="es-ES"/>
        </w:rPr>
      </w:pPr>
    </w:p>
    <w:p w14:paraId="039207FD" w14:textId="799DCF26" w:rsidR="00492810" w:rsidRPr="00527E0F" w:rsidRDefault="00492810" w:rsidP="00443329">
      <w:pPr>
        <w:jc w:val="both"/>
        <w:rPr>
          <w:rFonts w:ascii="Century Gothic" w:hAnsi="Century Gothic"/>
          <w:color w:val="595959" w:themeColor="text1" w:themeTint="A6"/>
          <w:lang w:val="es-ES"/>
        </w:rPr>
      </w:pPr>
      <w:r w:rsidRPr="00527E0F">
        <w:rPr>
          <w:rFonts w:ascii="Century Gothic" w:hAnsi="Century Gothic"/>
          <w:color w:val="595959" w:themeColor="text1" w:themeTint="A6"/>
          <w:lang w:val="es-ES"/>
        </w:rPr>
        <w:t>Para dar cumplimiento al propósito para el que fue creado y capturar la mayor parte del sector empresarial formal ecuatoriano, el DIEE insume los registros administrativos de instituciones como el Servicio de Rentas Internas (SRI), el Instituto Ecuatoriano de Seguridad Social (IESS) y Ministerio de Educación</w:t>
      </w:r>
      <w:r w:rsidR="00043628">
        <w:rPr>
          <w:rFonts w:ascii="Century Gothic" w:hAnsi="Century Gothic"/>
          <w:color w:val="595959" w:themeColor="text1" w:themeTint="A6"/>
          <w:lang w:val="es-ES"/>
        </w:rPr>
        <w:t xml:space="preserve"> (MINEDUC)</w:t>
      </w:r>
      <w:r w:rsidRPr="00527E0F">
        <w:rPr>
          <w:rStyle w:val="Refdenotaalpie"/>
          <w:rFonts w:ascii="Century Gothic" w:hAnsi="Century Gothic"/>
          <w:color w:val="595959" w:themeColor="text1" w:themeTint="A6"/>
          <w:lang w:val="es-ES"/>
        </w:rPr>
        <w:footnoteReference w:id="2"/>
      </w:r>
      <w:r w:rsidRPr="00527E0F">
        <w:rPr>
          <w:rFonts w:ascii="Century Gothic" w:hAnsi="Century Gothic"/>
          <w:color w:val="595959" w:themeColor="text1" w:themeTint="A6"/>
          <w:lang w:val="es-ES"/>
        </w:rPr>
        <w:t xml:space="preserve">. Así, el Directorio cuenta con información relacionada a unidades económicas públicas o privadas, con personalidad jurídica propia, que se </w:t>
      </w:r>
      <w:r w:rsidR="00443329" w:rsidRPr="00527E0F">
        <w:rPr>
          <w:rFonts w:ascii="Century Gothic" w:hAnsi="Century Gothic"/>
          <w:color w:val="595959" w:themeColor="text1" w:themeTint="A6"/>
          <w:lang w:val="es-ES"/>
        </w:rPr>
        <w:t>encuentran en</w:t>
      </w:r>
      <w:r w:rsidRPr="00527E0F">
        <w:rPr>
          <w:rFonts w:ascii="Century Gothic" w:hAnsi="Century Gothic"/>
          <w:color w:val="595959" w:themeColor="text1" w:themeTint="A6"/>
          <w:lang w:val="es-ES"/>
        </w:rPr>
        <w:t xml:space="preserve"> territorio nacional y generaron alguna actividad </w:t>
      </w:r>
      <w:r w:rsidR="00443329" w:rsidRPr="00527E0F">
        <w:rPr>
          <w:rFonts w:ascii="Century Gothic" w:hAnsi="Century Gothic"/>
          <w:color w:val="595959" w:themeColor="text1" w:themeTint="A6"/>
          <w:lang w:val="es-ES"/>
        </w:rPr>
        <w:t>económica en</w:t>
      </w:r>
      <w:r w:rsidRPr="00527E0F">
        <w:rPr>
          <w:rFonts w:ascii="Century Gothic" w:hAnsi="Century Gothic"/>
          <w:color w:val="595959" w:themeColor="text1" w:themeTint="A6"/>
          <w:lang w:val="es-ES"/>
        </w:rPr>
        <w:t xml:space="preserve"> un periodo de tiempo</w:t>
      </w:r>
      <w:r w:rsidRPr="00443329">
        <w:rPr>
          <w:rFonts w:ascii="Century Gothic" w:hAnsi="Century Gothic"/>
          <w:color w:val="595959" w:themeColor="text1" w:themeTint="A6"/>
          <w:vertAlign w:val="superscript"/>
          <w:lang w:val="es-ES"/>
        </w:rPr>
        <w:footnoteReference w:id="3"/>
      </w:r>
      <w:r w:rsidRPr="00443329">
        <w:rPr>
          <w:rFonts w:ascii="Century Gothic" w:hAnsi="Century Gothic"/>
          <w:color w:val="595959" w:themeColor="text1" w:themeTint="A6"/>
          <w:lang w:val="es-ES"/>
        </w:rPr>
        <w:t xml:space="preserve"> </w:t>
      </w:r>
      <w:r w:rsidRPr="00527E0F">
        <w:rPr>
          <w:rFonts w:ascii="Century Gothic" w:hAnsi="Century Gothic"/>
          <w:color w:val="595959" w:themeColor="text1" w:themeTint="A6"/>
          <w:lang w:val="es-ES"/>
        </w:rPr>
        <w:t xml:space="preserve">determinado. </w:t>
      </w:r>
    </w:p>
    <w:p w14:paraId="14492791" w14:textId="77777777" w:rsidR="00492810" w:rsidRPr="00527E0F" w:rsidRDefault="00492810" w:rsidP="00443329">
      <w:pPr>
        <w:jc w:val="both"/>
        <w:rPr>
          <w:rFonts w:ascii="Century Gothic" w:hAnsi="Century Gothic"/>
          <w:color w:val="595959" w:themeColor="text1" w:themeTint="A6"/>
          <w:lang w:val="es-ES"/>
        </w:rPr>
      </w:pPr>
    </w:p>
    <w:p w14:paraId="557F910F" w14:textId="3140210E" w:rsidR="00492810" w:rsidRDefault="00492810" w:rsidP="00443329">
      <w:pPr>
        <w:jc w:val="both"/>
        <w:rPr>
          <w:rFonts w:ascii="Century Gothic" w:hAnsi="Century Gothic"/>
          <w:color w:val="595959" w:themeColor="text1" w:themeTint="A6"/>
          <w:lang w:val="es-ES" w:eastAsia="es-ES"/>
        </w:rPr>
      </w:pPr>
      <w:r w:rsidRPr="00527E0F">
        <w:rPr>
          <w:rFonts w:ascii="Century Gothic" w:hAnsi="Century Gothic"/>
          <w:color w:val="595959" w:themeColor="text1" w:themeTint="A6"/>
        </w:rPr>
        <w:t xml:space="preserve">A través de estas fuentes se identifica las  variables principales que forman parte del DIEE por unidad económica como las  </w:t>
      </w:r>
      <w:r w:rsidRPr="00527E0F">
        <w:rPr>
          <w:rFonts w:ascii="Century Gothic" w:hAnsi="Century Gothic"/>
          <w:color w:val="595959" w:themeColor="text1" w:themeTint="A6"/>
          <w:lang w:val="es-ES" w:eastAsia="es-ES"/>
        </w:rPr>
        <w:t xml:space="preserve">ventas anuales, personal afiliado medido en plazas de empleo registrado y empleo registrado a la seguridad social, remuneraciones, actividad económica, forma institucional; variables que se complementan y contrastan con la información generada en encuestas, censos económicos, balances empresariales entre otras fuentes con el fin de mejorar la consistencia y calidad de las operaciones estadísticas del INEC. </w:t>
      </w:r>
    </w:p>
    <w:p w14:paraId="0440DFE5" w14:textId="77777777" w:rsidR="00443329" w:rsidRPr="00527E0F" w:rsidRDefault="00443329" w:rsidP="00443329">
      <w:pPr>
        <w:jc w:val="both"/>
        <w:rPr>
          <w:rFonts w:ascii="Century Gothic" w:hAnsi="Century Gothic"/>
          <w:color w:val="595959" w:themeColor="text1" w:themeTint="A6"/>
          <w:lang w:val="es-ES" w:eastAsia="es-ES"/>
        </w:rPr>
      </w:pPr>
    </w:p>
    <w:p w14:paraId="19ECCCCF" w14:textId="7107174E"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 xml:space="preserve">Es así, que el presente instrumento tiene como objetivo documentar el proceso para obtener el Directorio de Empresas y Establecimientos y los cambios </w:t>
      </w:r>
      <w:r w:rsidR="00D8328C">
        <w:rPr>
          <w:rFonts w:ascii="Century Gothic" w:hAnsi="Century Gothic"/>
          <w:color w:val="595959" w:themeColor="text1" w:themeTint="A6"/>
        </w:rPr>
        <w:t xml:space="preserve">que se incorporaron en la </w:t>
      </w:r>
      <w:r w:rsidR="00043628">
        <w:rPr>
          <w:rFonts w:ascii="Century Gothic" w:hAnsi="Century Gothic"/>
          <w:color w:val="595959" w:themeColor="text1" w:themeTint="A6"/>
        </w:rPr>
        <w:t>décima</w:t>
      </w:r>
      <w:r w:rsidRPr="00527E0F">
        <w:rPr>
          <w:rFonts w:ascii="Century Gothic" w:hAnsi="Century Gothic"/>
          <w:color w:val="595959" w:themeColor="text1" w:themeTint="A6"/>
        </w:rPr>
        <w:t xml:space="preserve"> ve</w:t>
      </w:r>
      <w:r w:rsidR="00D8328C">
        <w:rPr>
          <w:rFonts w:ascii="Century Gothic" w:hAnsi="Century Gothic"/>
          <w:color w:val="595959" w:themeColor="text1" w:themeTint="A6"/>
        </w:rPr>
        <w:t>rsión correspondiente al año 202</w:t>
      </w:r>
      <w:r w:rsidR="007E2700">
        <w:rPr>
          <w:rFonts w:ascii="Century Gothic" w:hAnsi="Century Gothic"/>
          <w:color w:val="595959" w:themeColor="text1" w:themeTint="A6"/>
        </w:rPr>
        <w:t>1</w:t>
      </w:r>
      <w:r w:rsidRPr="00527E0F">
        <w:rPr>
          <w:rFonts w:ascii="Century Gothic" w:hAnsi="Century Gothic"/>
          <w:color w:val="595959" w:themeColor="text1" w:themeTint="A6"/>
        </w:rPr>
        <w:t xml:space="preserve">. El documento se estructura en siete apartados que se alinean a las directrices del Modelo de Producción Estadística del INEC: Planificación, Diseño y Construcción, Captación, Procesamiento, Análisis, Difusión y Evaluación. </w:t>
      </w:r>
    </w:p>
    <w:p w14:paraId="11E9625B" w14:textId="77777777" w:rsidR="00443329" w:rsidRDefault="00443329" w:rsidP="00443329">
      <w:pPr>
        <w:jc w:val="both"/>
        <w:rPr>
          <w:rFonts w:ascii="Century Gothic" w:hAnsi="Century Gothic"/>
          <w:color w:val="595959" w:themeColor="text1" w:themeTint="A6"/>
        </w:rPr>
      </w:pPr>
    </w:p>
    <w:p w14:paraId="5C44DB76" w14:textId="09674D36" w:rsidR="00492810" w:rsidRPr="00443329" w:rsidRDefault="00492810" w:rsidP="00443329">
      <w:pPr>
        <w:pStyle w:val="TITULOINEC"/>
      </w:pPr>
      <w:bookmarkStart w:id="6" w:name="_Toc412998100"/>
      <w:bookmarkStart w:id="7" w:name="_Toc53757406"/>
      <w:r w:rsidRPr="00443329">
        <w:t>ANTECEDENTES</w:t>
      </w:r>
      <w:bookmarkEnd w:id="6"/>
      <w:bookmarkEnd w:id="7"/>
    </w:p>
    <w:p w14:paraId="58A42CAF" w14:textId="08F5D7A2" w:rsidR="00492810" w:rsidRPr="00527E0F" w:rsidRDefault="00492810" w:rsidP="00443329">
      <w:pPr>
        <w:spacing w:before="240"/>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Antes del 2012, el Ecuador no disponía de una fuente de información que consolidara de manera periódica y en su totalidad, la información de ventas </w:t>
      </w:r>
      <w:r w:rsidR="00BD1011">
        <w:rPr>
          <w:rFonts w:ascii="Century Gothic" w:hAnsi="Century Gothic"/>
          <w:color w:val="595959" w:themeColor="text1" w:themeTint="A6"/>
          <w:lang w:eastAsia="es-EC"/>
        </w:rPr>
        <w:t xml:space="preserve">y </w:t>
      </w:r>
      <w:r w:rsidRPr="00527E0F">
        <w:rPr>
          <w:rFonts w:ascii="Century Gothic" w:hAnsi="Century Gothic"/>
          <w:color w:val="595959" w:themeColor="text1" w:themeTint="A6"/>
          <w:lang w:eastAsia="es-EC"/>
        </w:rPr>
        <w:t>personal afiliado por rama de actividad de las unidades económicas formales del país. Las fuentes que existían hasta ese entonces y que contenían información de estas variables eran los Censos Económicos de 1980 y 2010, la Encuesta Exhaustiva de Empresas y Establecimientos 2011, y las Encuestas Estructurales Empresariales</w:t>
      </w:r>
      <w:r w:rsidRPr="00527E0F">
        <w:rPr>
          <w:rStyle w:val="Refdenotaalpie"/>
          <w:rFonts w:ascii="Century Gothic" w:hAnsi="Century Gothic"/>
          <w:color w:val="595959" w:themeColor="text1" w:themeTint="A6"/>
          <w:lang w:eastAsia="es-EC"/>
        </w:rPr>
        <w:footnoteReference w:id="4"/>
      </w:r>
      <w:r w:rsidRPr="00527E0F">
        <w:rPr>
          <w:rFonts w:ascii="Century Gothic" w:hAnsi="Century Gothic"/>
          <w:color w:val="595959" w:themeColor="text1" w:themeTint="A6"/>
          <w:lang w:eastAsia="es-EC"/>
        </w:rPr>
        <w:t xml:space="preserve"> de los sectores de comercio, manufactura y servicios de 2007 en adelante.</w:t>
      </w:r>
    </w:p>
    <w:p w14:paraId="2D532837" w14:textId="77777777" w:rsidR="00492810" w:rsidRPr="00527E0F" w:rsidRDefault="00492810" w:rsidP="00443329">
      <w:pPr>
        <w:jc w:val="both"/>
        <w:rPr>
          <w:rFonts w:ascii="Century Gothic" w:hAnsi="Century Gothic"/>
          <w:color w:val="595959" w:themeColor="text1" w:themeTint="A6"/>
          <w:lang w:eastAsia="es-EC"/>
        </w:rPr>
      </w:pPr>
    </w:p>
    <w:p w14:paraId="6A3A9C5F" w14:textId="416F07D6"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A</w:t>
      </w:r>
      <w:r w:rsidRPr="00527E0F">
        <w:rPr>
          <w:rFonts w:ascii="Century Gothic" w:hAnsi="Century Gothic"/>
          <w:color w:val="595959" w:themeColor="text1" w:themeTint="A6"/>
          <w:spacing w:val="4"/>
        </w:rPr>
        <w:t xml:space="preserve"> m</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di</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os</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rPr>
        <w:t>l</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2</w:t>
      </w:r>
      <w:r w:rsidRPr="00527E0F">
        <w:rPr>
          <w:rFonts w:ascii="Century Gothic" w:hAnsi="Century Gothic"/>
          <w:color w:val="595959" w:themeColor="text1" w:themeTint="A6"/>
          <w:spacing w:val="1"/>
        </w:rPr>
        <w:t>0</w:t>
      </w:r>
      <w:r w:rsidRPr="00527E0F">
        <w:rPr>
          <w:rFonts w:ascii="Century Gothic" w:hAnsi="Century Gothic"/>
          <w:color w:val="595959" w:themeColor="text1" w:themeTint="A6"/>
        </w:rPr>
        <w:t>0</w:t>
      </w:r>
      <w:r w:rsidRPr="00527E0F">
        <w:rPr>
          <w:rFonts w:ascii="Century Gothic" w:hAnsi="Century Gothic"/>
          <w:color w:val="595959" w:themeColor="text1" w:themeTint="A6"/>
          <w:spacing w:val="-1"/>
        </w:rPr>
        <w:t>9</w:t>
      </w:r>
      <w:r w:rsidRPr="00527E0F">
        <w:rPr>
          <w:rFonts w:ascii="Century Gothic" w:hAnsi="Century Gothic"/>
          <w:color w:val="595959" w:themeColor="text1" w:themeTint="A6"/>
        </w:rPr>
        <w:t>,</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rPr>
        <w:t>t</w:t>
      </w:r>
      <w:r w:rsidRPr="00527E0F">
        <w:rPr>
          <w:rFonts w:ascii="Century Gothic" w:hAnsi="Century Gothic"/>
          <w:color w:val="595959" w:themeColor="text1" w:themeTint="A6"/>
          <w:spacing w:val="2"/>
        </w:rPr>
        <w:t>e</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2"/>
        </w:rPr>
        <w:t>e</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o</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 xml:space="preserve">o </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ar</w:t>
      </w:r>
      <w:r w:rsidRPr="00527E0F">
        <w:rPr>
          <w:rFonts w:ascii="Century Gothic" w:hAnsi="Century Gothic"/>
          <w:color w:val="595959" w:themeColor="text1" w:themeTint="A6"/>
          <w:spacing w:val="2"/>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o</w:t>
      </w:r>
      <w:r w:rsidRPr="00527E0F">
        <w:rPr>
          <w:rFonts w:ascii="Century Gothic" w:hAnsi="Century Gothic"/>
          <w:color w:val="595959" w:themeColor="text1" w:themeTint="A6"/>
          <w:spacing w:val="3"/>
        </w:rPr>
        <w:t>r</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at</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spacing w:val="-1"/>
        </w:rPr>
        <w:t>v</w:t>
      </w:r>
      <w:r w:rsidRPr="00527E0F">
        <w:rPr>
          <w:rFonts w:ascii="Century Gothic" w:hAnsi="Century Gothic"/>
          <w:color w:val="595959" w:themeColor="text1" w:themeTint="A6"/>
        </w:rPr>
        <w:t>o</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w:t>
      </w:r>
      <w:r w:rsidRPr="00527E0F">
        <w:rPr>
          <w:rFonts w:ascii="Century Gothic" w:hAnsi="Century Gothic"/>
          <w:color w:val="595959" w:themeColor="text1" w:themeTint="A6"/>
          <w:spacing w:val="6"/>
        </w:rPr>
        <w:t xml:space="preserve"> </w:t>
      </w:r>
      <w:r w:rsidRPr="00527E0F">
        <w:rPr>
          <w:rFonts w:ascii="Century Gothic" w:hAnsi="Century Gothic"/>
          <w:color w:val="595959" w:themeColor="text1" w:themeTint="A6"/>
        </w:rPr>
        <w:t>De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si</w:t>
      </w:r>
      <w:r w:rsidRPr="00527E0F">
        <w:rPr>
          <w:rFonts w:ascii="Century Gothic" w:hAnsi="Century Gothic"/>
          <w:color w:val="595959" w:themeColor="text1" w:themeTint="A6"/>
        </w:rPr>
        <w:t>ón</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rPr>
        <w:t>6</w:t>
      </w:r>
      <w:r w:rsidRPr="00527E0F">
        <w:rPr>
          <w:rFonts w:ascii="Century Gothic" w:hAnsi="Century Gothic"/>
          <w:color w:val="595959" w:themeColor="text1" w:themeTint="A6"/>
          <w:spacing w:val="-1"/>
        </w:rPr>
        <w:t>9</w:t>
      </w:r>
      <w:r w:rsidRPr="00527E0F">
        <w:rPr>
          <w:rFonts w:ascii="Century Gothic" w:hAnsi="Century Gothic"/>
          <w:color w:val="595959" w:themeColor="text1" w:themeTint="A6"/>
        </w:rPr>
        <w:t>8</w:t>
      </w:r>
      <w:r w:rsidRPr="00527E0F">
        <w:rPr>
          <w:rFonts w:ascii="Century Gothic" w:hAnsi="Century Gothic"/>
          <w:color w:val="595959" w:themeColor="text1" w:themeTint="A6"/>
          <w:spacing w:val="4"/>
        </w:rPr>
        <w:t xml:space="preserve"> </w:t>
      </w:r>
      <w:sdt>
        <w:sdtPr>
          <w:rPr>
            <w:rFonts w:ascii="Century Gothic" w:hAnsi="Century Gothic"/>
            <w:color w:val="595959" w:themeColor="text1" w:themeTint="A6"/>
            <w:spacing w:val="4"/>
          </w:rPr>
          <w:id w:val="-77981108"/>
          <w:citation/>
        </w:sdtPr>
        <w:sdtEndPr/>
        <w:sdtContent>
          <w:r w:rsidRPr="00527E0F">
            <w:rPr>
              <w:rFonts w:ascii="Century Gothic" w:hAnsi="Century Gothic"/>
              <w:color w:val="595959" w:themeColor="text1" w:themeTint="A6"/>
              <w:spacing w:val="4"/>
            </w:rPr>
            <w:fldChar w:fldCharType="begin"/>
          </w:r>
          <w:r w:rsidRPr="00527E0F">
            <w:rPr>
              <w:rFonts w:ascii="Century Gothic" w:hAnsi="Century Gothic"/>
              <w:color w:val="595959" w:themeColor="text1" w:themeTint="A6"/>
              <w:spacing w:val="4"/>
            </w:rPr>
            <w:instrText xml:space="preserve"> CITATION CAN08 \l 12298 </w:instrText>
          </w:r>
          <w:r w:rsidRPr="00527E0F">
            <w:rPr>
              <w:rFonts w:ascii="Century Gothic" w:hAnsi="Century Gothic"/>
              <w:color w:val="595959" w:themeColor="text1" w:themeTint="A6"/>
              <w:spacing w:val="4"/>
            </w:rPr>
            <w:fldChar w:fldCharType="separate"/>
          </w:r>
          <w:r w:rsidRPr="00527E0F">
            <w:rPr>
              <w:rFonts w:ascii="Century Gothic" w:hAnsi="Century Gothic"/>
              <w:noProof/>
              <w:color w:val="595959" w:themeColor="text1" w:themeTint="A6"/>
              <w:spacing w:val="4"/>
            </w:rPr>
            <w:t>(CAN, 2008)</w:t>
          </w:r>
          <w:r w:rsidRPr="00527E0F">
            <w:rPr>
              <w:rFonts w:ascii="Century Gothic" w:hAnsi="Century Gothic"/>
              <w:color w:val="595959" w:themeColor="text1" w:themeTint="A6"/>
              <w:spacing w:val="4"/>
            </w:rPr>
            <w:fldChar w:fldCharType="end"/>
          </w:r>
        </w:sdtContent>
      </w:sdt>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spacing w:val="3"/>
        </w:rPr>
        <w:t>s</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b</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 C</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2"/>
        </w:rPr>
        <w:t>ó</w:t>
      </w:r>
      <w:r w:rsidRPr="00527E0F">
        <w:rPr>
          <w:rFonts w:ascii="Century Gothic" w:hAnsi="Century Gothic"/>
          <w:color w:val="595959" w:themeColor="text1" w:themeTint="A6"/>
        </w:rPr>
        <w:t xml:space="preserve">n y </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tu</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z</w:t>
      </w:r>
      <w:r w:rsidRPr="00527E0F">
        <w:rPr>
          <w:rFonts w:ascii="Century Gothic" w:hAnsi="Century Gothic"/>
          <w:color w:val="595959" w:themeColor="text1" w:themeTint="A6"/>
        </w:rPr>
        <w:t>a</w:t>
      </w:r>
      <w:r w:rsidRPr="00527E0F">
        <w:rPr>
          <w:rFonts w:ascii="Century Gothic" w:hAnsi="Century Gothic"/>
          <w:color w:val="595959" w:themeColor="text1" w:themeTint="A6"/>
          <w:spacing w:val="3"/>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ón d</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rPr>
        <w:t xml:space="preserve">l </w:t>
      </w:r>
      <w:r w:rsidRPr="00527E0F">
        <w:rPr>
          <w:rFonts w:ascii="Century Gothic" w:hAnsi="Century Gothic"/>
          <w:color w:val="595959" w:themeColor="text1" w:themeTint="A6"/>
          <w:spacing w:val="2"/>
        </w:rPr>
        <w:t>D</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tor</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rPr>
        <w:t xml:space="preserve">o de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pre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 xml:space="preserve">, el </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t</w:t>
      </w:r>
      <w:r w:rsidRPr="00527E0F">
        <w:rPr>
          <w:rFonts w:ascii="Century Gothic" w:hAnsi="Century Gothic"/>
          <w:color w:val="595959" w:themeColor="text1" w:themeTint="A6"/>
          <w:spacing w:val="2"/>
        </w:rPr>
        <w:t>u</w:t>
      </w:r>
      <w:r w:rsidRPr="00527E0F">
        <w:rPr>
          <w:rFonts w:ascii="Century Gothic" w:hAnsi="Century Gothic"/>
          <w:color w:val="595959" w:themeColor="text1" w:themeTint="A6"/>
        </w:rPr>
        <w:t>to Na</w:t>
      </w:r>
      <w:r w:rsidRPr="00527E0F">
        <w:rPr>
          <w:rFonts w:ascii="Century Gothic" w:hAnsi="Century Gothic"/>
          <w:color w:val="595959" w:themeColor="text1" w:themeTint="A6"/>
          <w:spacing w:val="3"/>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 xml:space="preserve">al </w:t>
      </w:r>
      <w:r w:rsidRPr="00527E0F">
        <w:rPr>
          <w:rFonts w:ascii="Century Gothic" w:hAnsi="Century Gothic"/>
          <w:color w:val="595959" w:themeColor="text1" w:themeTint="A6"/>
          <w:spacing w:val="2"/>
        </w:rPr>
        <w:t>d</w:t>
      </w:r>
      <w:r w:rsidRPr="00527E0F">
        <w:rPr>
          <w:rFonts w:ascii="Century Gothic" w:hAnsi="Century Gothic"/>
          <w:color w:val="595959" w:themeColor="text1" w:themeTint="A6"/>
        </w:rPr>
        <w:t xml:space="preserve">e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ta</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í</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a</w:t>
      </w:r>
      <w:r w:rsidRPr="00527E0F">
        <w:rPr>
          <w:rFonts w:ascii="Century Gothic" w:hAnsi="Century Gothic"/>
          <w:color w:val="595959" w:themeColor="text1" w:themeTint="A6"/>
          <w:spacing w:val="6"/>
        </w:rPr>
        <w:t xml:space="preserve"> </w:t>
      </w:r>
      <w:r w:rsidRPr="00527E0F">
        <w:rPr>
          <w:rFonts w:ascii="Century Gothic" w:hAnsi="Century Gothic"/>
          <w:color w:val="595959" w:themeColor="text1" w:themeTint="A6"/>
        </w:rPr>
        <w:t>y</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spacing w:val="2"/>
        </w:rPr>
        <w:t>C</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os</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4"/>
        </w:rPr>
        <w:t>(</w:t>
      </w:r>
      <w:r w:rsidRPr="00527E0F">
        <w:rPr>
          <w:rFonts w:ascii="Century Gothic" w:hAnsi="Century Gothic"/>
          <w:color w:val="595959" w:themeColor="text1" w:themeTint="A6"/>
        </w:rPr>
        <w:t>I</w:t>
      </w:r>
      <w:r w:rsidRPr="00527E0F">
        <w:rPr>
          <w:rFonts w:ascii="Century Gothic" w:hAnsi="Century Gothic"/>
          <w:color w:val="595959" w:themeColor="text1" w:themeTint="A6"/>
          <w:spacing w:val="2"/>
        </w:rPr>
        <w:t>N</w:t>
      </w:r>
      <w:r w:rsidRPr="00527E0F">
        <w:rPr>
          <w:rFonts w:ascii="Century Gothic" w:hAnsi="Century Gothic"/>
          <w:color w:val="595959" w:themeColor="text1" w:themeTint="A6"/>
          <w:spacing w:val="1"/>
        </w:rPr>
        <w:t>EC)</w:t>
      </w:r>
      <w:r w:rsidRPr="00527E0F">
        <w:rPr>
          <w:rFonts w:ascii="Century Gothic" w:hAnsi="Century Gothic"/>
          <w:color w:val="595959" w:themeColor="text1" w:themeTint="A6"/>
          <w:spacing w:val="6"/>
        </w:rPr>
        <w:t xml:space="preserve"> </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3"/>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ó</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el</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pr</w:t>
      </w:r>
      <w:r w:rsidRPr="00527E0F">
        <w:rPr>
          <w:rFonts w:ascii="Century Gothic" w:hAnsi="Century Gothic"/>
          <w:color w:val="595959" w:themeColor="text1" w:themeTint="A6"/>
          <w:spacing w:val="5"/>
        </w:rPr>
        <w:t>o</w:t>
      </w:r>
      <w:r w:rsidRPr="00527E0F">
        <w:rPr>
          <w:rFonts w:ascii="Century Gothic" w:hAnsi="Century Gothic"/>
          <w:color w:val="595959" w:themeColor="text1" w:themeTint="A6"/>
          <w:spacing w:val="-4"/>
        </w:rPr>
        <w:t>y</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to</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4"/>
        </w:rPr>
        <w:t xml:space="preserve">para la generación del Directorio de Empresas y Establecimientos (DIEE) del país,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on</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w:t>
      </w:r>
      <w:r w:rsidRPr="00527E0F">
        <w:rPr>
          <w:rFonts w:ascii="Century Gothic" w:hAnsi="Century Gothic"/>
          <w:color w:val="595959" w:themeColor="text1" w:themeTint="A6"/>
          <w:spacing w:val="2"/>
        </w:rPr>
        <w:t xml:space="preserve"> f</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d</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rPr>
        <w:t>de</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2"/>
        </w:rPr>
        <w:t>q</w:t>
      </w:r>
      <w:r w:rsidRPr="00527E0F">
        <w:rPr>
          <w:rFonts w:ascii="Century Gothic" w:hAnsi="Century Gothic"/>
          <w:color w:val="595959" w:themeColor="text1" w:themeTint="A6"/>
        </w:rPr>
        <w:t xml:space="preserve">ue éste </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e</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t</w:t>
      </w:r>
      <w:r w:rsidRPr="00527E0F">
        <w:rPr>
          <w:rFonts w:ascii="Century Gothic" w:hAnsi="Century Gothic"/>
          <w:color w:val="595959" w:themeColor="text1" w:themeTint="A6"/>
          <w:spacing w:val="2"/>
        </w:rPr>
        <w:t>u</w:t>
      </w:r>
      <w:r w:rsidRPr="00527E0F">
        <w:rPr>
          <w:rFonts w:ascii="Century Gothic" w:hAnsi="Century Gothic"/>
          <w:color w:val="595959" w:themeColor="text1" w:themeTint="A6"/>
          <w:spacing w:val="-4"/>
        </w:rPr>
        <w:t>y</w:t>
      </w:r>
      <w:r w:rsidRPr="00527E0F">
        <w:rPr>
          <w:rFonts w:ascii="Century Gothic" w:hAnsi="Century Gothic"/>
          <w:color w:val="595959" w:themeColor="text1" w:themeTint="A6"/>
        </w:rPr>
        <w:t>a</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spacing w:val="2"/>
        </w:rPr>
        <w:t>e</w:t>
      </w:r>
      <w:r w:rsidRPr="00527E0F">
        <w:rPr>
          <w:rFonts w:ascii="Century Gothic" w:hAnsi="Century Gothic"/>
          <w:color w:val="595959" w:themeColor="text1" w:themeTint="A6"/>
        </w:rPr>
        <w:t>n una</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rPr>
        <w:t>h</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rr</w:t>
      </w:r>
      <w:r w:rsidRPr="00527E0F">
        <w:rPr>
          <w:rFonts w:ascii="Century Gothic" w:hAnsi="Century Gothic"/>
          <w:color w:val="595959" w:themeColor="text1" w:themeTint="A6"/>
        </w:rPr>
        <w:t>a</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ta</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rPr>
        <w:t>é</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de</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p</w:t>
      </w:r>
      <w:r w:rsidRPr="00527E0F">
        <w:rPr>
          <w:rFonts w:ascii="Century Gothic" w:hAnsi="Century Gothic"/>
          <w:color w:val="595959" w:themeColor="text1" w:themeTint="A6"/>
          <w:spacing w:val="4"/>
        </w:rPr>
        <w:t>o</w:t>
      </w:r>
      <w:r w:rsidRPr="00527E0F">
        <w:rPr>
          <w:rFonts w:ascii="Century Gothic" w:hAnsi="Century Gothic"/>
          <w:color w:val="595959" w:themeColor="text1" w:themeTint="A6"/>
          <w:spacing w:val="-4"/>
        </w:rPr>
        <w:t>y</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p</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 r</w:t>
      </w:r>
      <w:r w:rsidRPr="00527E0F">
        <w:rPr>
          <w:rFonts w:ascii="Century Gothic" w:hAnsi="Century Gothic"/>
          <w:color w:val="595959" w:themeColor="text1" w:themeTint="A6"/>
          <w:spacing w:val="2"/>
        </w:rPr>
        <w:t>e</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li</w:t>
      </w:r>
      <w:r w:rsidRPr="00527E0F">
        <w:rPr>
          <w:rFonts w:ascii="Century Gothic" w:hAnsi="Century Gothic"/>
          <w:color w:val="595959" w:themeColor="text1" w:themeTint="A6"/>
          <w:spacing w:val="-1"/>
        </w:rPr>
        <w:t>z</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2"/>
        </w:rPr>
        <w:t>ó</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 xml:space="preserve"> e</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2"/>
        </w:rPr>
        <w:t>u</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tas.</w:t>
      </w:r>
    </w:p>
    <w:p w14:paraId="5B8C8138" w14:textId="77777777" w:rsidR="00443329" w:rsidRPr="00527E0F" w:rsidRDefault="00443329" w:rsidP="00443329">
      <w:pPr>
        <w:jc w:val="both"/>
        <w:rPr>
          <w:rFonts w:ascii="Century Gothic" w:hAnsi="Century Gothic"/>
          <w:color w:val="595959" w:themeColor="text1" w:themeTint="A6"/>
          <w:spacing w:val="4"/>
        </w:rPr>
      </w:pPr>
    </w:p>
    <w:p w14:paraId="658DD2E8" w14:textId="69B3714D"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Con el apoyo técnico de la CAN</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se planificó la creación del DIEE, armonizando conceptos con el resto de países de la región 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or</w:t>
      </w:r>
      <w:r w:rsidRPr="00527E0F">
        <w:rPr>
          <w:rFonts w:ascii="Century Gothic" w:hAnsi="Century Gothic"/>
          <w:color w:val="595959" w:themeColor="text1" w:themeTint="A6"/>
          <w:spacing w:val="2"/>
        </w:rPr>
        <w:t>d</w:t>
      </w:r>
      <w:r w:rsidRPr="00527E0F">
        <w:rPr>
          <w:rFonts w:ascii="Century Gothic" w:hAnsi="Century Gothic"/>
          <w:color w:val="595959" w:themeColor="text1" w:themeTint="A6"/>
        </w:rPr>
        <w:t>e</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6"/>
        </w:rPr>
        <w:t>a</w:t>
      </w:r>
      <w:r w:rsidRPr="00527E0F">
        <w:rPr>
          <w:rFonts w:ascii="Century Gothic" w:hAnsi="Century Gothic"/>
          <w:color w:val="595959" w:themeColor="text1" w:themeTint="A6"/>
        </w:rPr>
        <w:t>l</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u</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 xml:space="preserve">l </w:t>
      </w:r>
      <w:r w:rsidRPr="00527E0F">
        <w:rPr>
          <w:rFonts w:ascii="Century Gothic" w:hAnsi="Century Gothic"/>
          <w:color w:val="595959" w:themeColor="text1" w:themeTint="A6"/>
          <w:spacing w:val="4"/>
        </w:rPr>
        <w:t>d</w:t>
      </w:r>
      <w:r w:rsidRPr="00527E0F">
        <w:rPr>
          <w:rFonts w:ascii="Century Gothic" w:hAnsi="Century Gothic"/>
          <w:color w:val="595959" w:themeColor="text1" w:themeTint="A6"/>
        </w:rPr>
        <w:t xml:space="preserve">e </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N</w:t>
      </w:r>
      <w:r w:rsidRPr="00527E0F">
        <w:rPr>
          <w:rFonts w:ascii="Century Gothic" w:hAnsi="Century Gothic"/>
          <w:color w:val="595959" w:themeColor="text1" w:themeTint="A6"/>
          <w:spacing w:val="3"/>
        </w:rPr>
        <w:t>D</w:t>
      </w:r>
      <w:r w:rsidRPr="00527E0F">
        <w:rPr>
          <w:rFonts w:ascii="Century Gothic" w:hAnsi="Century Gothic"/>
          <w:color w:val="595959" w:themeColor="text1" w:themeTint="A6"/>
          <w:spacing w:val="-1"/>
        </w:rPr>
        <w:t>ES</w:t>
      </w:r>
      <w:r w:rsidRPr="00527E0F">
        <w:rPr>
          <w:rFonts w:ascii="Century Gothic" w:hAnsi="Century Gothic"/>
          <w:color w:val="595959" w:themeColor="text1" w:themeTint="A6"/>
          <w:spacing w:val="3"/>
        </w:rPr>
        <w:t>T</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D, el cual había sido creado con asistencia de la EUROSTAT.</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3"/>
        </w:rPr>
        <w:t>E</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spacing w:val="2"/>
        </w:rPr>
        <w:t>a</w:t>
      </w:r>
      <w:r w:rsidRPr="00527E0F">
        <w:rPr>
          <w:rFonts w:ascii="Century Gothic" w:hAnsi="Century Gothic"/>
          <w:color w:val="595959" w:themeColor="text1" w:themeTint="A6"/>
          <w:spacing w:val="-6"/>
        </w:rPr>
        <w:t>y</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spacing w:val="2"/>
        </w:rPr>
        <w:t>d</w:t>
      </w:r>
      <w:r w:rsidRPr="00527E0F">
        <w:rPr>
          <w:rFonts w:ascii="Century Gothic" w:hAnsi="Century Gothic"/>
          <w:color w:val="595959" w:themeColor="text1" w:themeTint="A6"/>
        </w:rPr>
        <w:t xml:space="preserve">el </w:t>
      </w:r>
      <w:r w:rsidRPr="00527E0F">
        <w:rPr>
          <w:rFonts w:ascii="Century Gothic" w:hAnsi="Century Gothic"/>
          <w:color w:val="595959" w:themeColor="text1" w:themeTint="A6"/>
          <w:spacing w:val="4"/>
        </w:rPr>
        <w:t>2010</w:t>
      </w:r>
      <w:r w:rsidRPr="00527E0F">
        <w:rPr>
          <w:rFonts w:ascii="Century Gothic" w:hAnsi="Century Gothic"/>
          <w:color w:val="595959" w:themeColor="text1" w:themeTint="A6"/>
        </w:rPr>
        <w:t>,</w:t>
      </w:r>
      <w:r w:rsidRPr="00527E0F">
        <w:rPr>
          <w:rFonts w:ascii="Century Gothic" w:hAnsi="Century Gothic"/>
          <w:color w:val="595959" w:themeColor="text1" w:themeTint="A6"/>
          <w:spacing w:val="1"/>
        </w:rPr>
        <w:t xml:space="preserve"> Ecuador se unió </w:t>
      </w:r>
      <w:r w:rsidRPr="00527E0F">
        <w:rPr>
          <w:rFonts w:ascii="Century Gothic" w:hAnsi="Century Gothic"/>
          <w:color w:val="595959" w:themeColor="text1" w:themeTint="A6"/>
          <w:spacing w:val="2"/>
        </w:rPr>
        <w:t>a</w:t>
      </w:r>
      <w:r w:rsidRPr="00527E0F">
        <w:rPr>
          <w:rFonts w:ascii="Century Gothic" w:hAnsi="Century Gothic"/>
          <w:color w:val="595959" w:themeColor="text1" w:themeTint="A6"/>
        </w:rPr>
        <w:t>l pr</w:t>
      </w:r>
      <w:r w:rsidRPr="00527E0F">
        <w:rPr>
          <w:rFonts w:ascii="Century Gothic" w:hAnsi="Century Gothic"/>
          <w:color w:val="595959" w:themeColor="text1" w:themeTint="A6"/>
          <w:spacing w:val="5"/>
        </w:rPr>
        <w:t>o</w:t>
      </w:r>
      <w:r w:rsidRPr="00527E0F">
        <w:rPr>
          <w:rFonts w:ascii="Century Gothic" w:hAnsi="Century Gothic"/>
          <w:color w:val="595959" w:themeColor="text1" w:themeTint="A6"/>
          <w:spacing w:val="-4"/>
        </w:rPr>
        <w:t>y</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 xml:space="preserve">to </w:t>
      </w:r>
      <w:r w:rsidRPr="00527E0F">
        <w:rPr>
          <w:rFonts w:ascii="Century Gothic" w:hAnsi="Century Gothic"/>
          <w:color w:val="595959" w:themeColor="text1" w:themeTint="A6"/>
          <w:spacing w:val="3"/>
        </w:rPr>
        <w:t>“</w:t>
      </w:r>
      <w:r w:rsidRPr="00527E0F">
        <w:rPr>
          <w:rFonts w:ascii="Century Gothic" w:hAnsi="Century Gothic"/>
          <w:color w:val="595959" w:themeColor="text1" w:themeTint="A6"/>
        </w:rPr>
        <w:t>M</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rc</w:t>
      </w:r>
      <w:r w:rsidRPr="00527E0F">
        <w:rPr>
          <w:rFonts w:ascii="Century Gothic" w:hAnsi="Century Gothic"/>
          <w:color w:val="595959" w:themeColor="text1" w:themeTint="A6"/>
        </w:rPr>
        <w:t xml:space="preserve">o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ta</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í</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Re</w:t>
      </w:r>
      <w:r w:rsidRPr="00527E0F">
        <w:rPr>
          <w:rFonts w:ascii="Century Gothic" w:hAnsi="Century Gothic"/>
          <w:color w:val="595959" w:themeColor="text1" w:themeTint="A6"/>
          <w:spacing w:val="2"/>
        </w:rPr>
        <w:t>g</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al p</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3"/>
        </w:rPr>
        <w:t>r</w:t>
      </w:r>
      <w:r w:rsidRPr="00527E0F">
        <w:rPr>
          <w:rFonts w:ascii="Century Gothic" w:hAnsi="Century Gothic"/>
          <w:color w:val="595959" w:themeColor="text1" w:themeTint="A6"/>
        </w:rPr>
        <w:t>a</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tor</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rPr>
        <w:t>os</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de</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pre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as</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 xml:space="preserve">y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ta</w:t>
      </w:r>
      <w:r w:rsidRPr="00527E0F">
        <w:rPr>
          <w:rFonts w:ascii="Century Gothic" w:hAnsi="Century Gothic"/>
          <w:color w:val="595959" w:themeColor="text1" w:themeTint="A6"/>
          <w:spacing w:val="-1"/>
        </w:rPr>
        <w:t>b</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tos”</w:t>
      </w:r>
      <w:r w:rsidRPr="00527E0F">
        <w:rPr>
          <w:rFonts w:ascii="Century Gothic" w:hAnsi="Century Gothic"/>
          <w:color w:val="595959" w:themeColor="text1" w:themeTint="A6"/>
          <w:spacing w:val="11"/>
        </w:rPr>
        <w:t xml:space="preserve">, </w:t>
      </w:r>
      <w:r w:rsidRPr="00527E0F">
        <w:rPr>
          <w:rFonts w:ascii="Century Gothic" w:hAnsi="Century Gothic"/>
          <w:color w:val="595959" w:themeColor="text1" w:themeTint="A6"/>
        </w:rPr>
        <w:t>que contó con asistencia técnica del Banco Interamericano de Desarrollo (BID) y la Facultad Latinoamericana de Ciencias Sociales (FLACSO), del cual surgieron estrategias y planes de acción a nivel regional para la creación del Directorio de Empresas, parte de las acciones emprendidas fue la participación del INEC en talleres y capacitaciones técnicas con la finalidad de desarrollar una metodología sólida para la creación del DIEE, estas capacitaciones y talleres se llevaron a cabo desde</w:t>
      </w:r>
      <w:r w:rsidRPr="00527E0F">
        <w:rPr>
          <w:rFonts w:ascii="Century Gothic" w:hAnsi="Century Gothic"/>
          <w:color w:val="595959" w:themeColor="text1" w:themeTint="A6"/>
          <w:spacing w:val="2"/>
        </w:rPr>
        <w:t xml:space="preserve"> finales del 2010 hasta el 2013</w:t>
      </w:r>
      <w:r w:rsidRPr="00527E0F">
        <w:rPr>
          <w:rFonts w:ascii="Century Gothic" w:hAnsi="Century Gothic"/>
          <w:color w:val="595959" w:themeColor="text1" w:themeTint="A6"/>
        </w:rPr>
        <w:t>.</w:t>
      </w:r>
    </w:p>
    <w:p w14:paraId="240E87E4" w14:textId="77777777" w:rsidR="00443329" w:rsidRPr="00527E0F" w:rsidRDefault="00443329" w:rsidP="00443329">
      <w:pPr>
        <w:jc w:val="both"/>
        <w:rPr>
          <w:rFonts w:ascii="Century Gothic" w:hAnsi="Century Gothic"/>
          <w:color w:val="595959" w:themeColor="text1" w:themeTint="A6"/>
        </w:rPr>
      </w:pPr>
    </w:p>
    <w:p w14:paraId="0CE10BCA" w14:textId="5C800567"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 xml:space="preserve">Durante </w:t>
      </w:r>
      <w:r w:rsidRPr="00527E0F">
        <w:rPr>
          <w:rFonts w:ascii="Century Gothic" w:hAnsi="Century Gothic"/>
          <w:color w:val="595959" w:themeColor="text1" w:themeTint="A6"/>
          <w:spacing w:val="16"/>
        </w:rPr>
        <w:t xml:space="preserve">el 2010 </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9"/>
        </w:rPr>
        <w:t xml:space="preserve"> </w:t>
      </w:r>
      <w:r w:rsidRPr="00527E0F">
        <w:rPr>
          <w:rFonts w:ascii="Century Gothic" w:hAnsi="Century Gothic"/>
          <w:color w:val="595959" w:themeColor="text1" w:themeTint="A6"/>
          <w:spacing w:val="1"/>
        </w:rPr>
        <w:t xml:space="preserve">realizaron los primeros acercamientos con las instituciones públicas identificadas como prioritarias para la consolidación del </w:t>
      </w:r>
      <w:r w:rsidRPr="00527E0F">
        <w:rPr>
          <w:rFonts w:ascii="Century Gothic" w:hAnsi="Century Gothic"/>
          <w:color w:val="595959" w:themeColor="text1" w:themeTint="A6"/>
          <w:spacing w:val="2"/>
        </w:rPr>
        <w:t>D</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3"/>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tor</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o de Empresas en</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2"/>
        </w:rPr>
        <w:t>u</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d</w:t>
      </w:r>
      <w:r w:rsidRPr="00527E0F">
        <w:rPr>
          <w:rFonts w:ascii="Century Gothic" w:hAnsi="Century Gothic"/>
          <w:color w:val="595959" w:themeColor="text1" w:themeTint="A6"/>
        </w:rPr>
        <w:t>or. De estos acercamientos, en 2010 se suscribió el convenio de acceso de información fiscal con el Servicio de Rentas Internas (SRI) y en 2011 con el Instituto Ecuatoriano de Seguridad Social (IESS), entidad a cargo del registro de personas que aportan a la seguridad social. La información de ambas entidades públicas permitió</w:t>
      </w:r>
      <w:r w:rsidRPr="00527E0F">
        <w:rPr>
          <w:rFonts w:ascii="Century Gothic" w:hAnsi="Century Gothic"/>
          <w:color w:val="595959" w:themeColor="text1" w:themeTint="A6"/>
          <w:spacing w:val="6"/>
        </w:rPr>
        <w:t xml:space="preserve"> </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b</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er</w:t>
      </w:r>
      <w:r w:rsidRPr="00527E0F">
        <w:rPr>
          <w:rFonts w:ascii="Century Gothic" w:hAnsi="Century Gothic"/>
          <w:color w:val="595959" w:themeColor="text1" w:themeTint="A6"/>
          <w:spacing w:val="9"/>
        </w:rPr>
        <w:t xml:space="preserve"> </w:t>
      </w:r>
      <w:r w:rsidRPr="00527E0F">
        <w:rPr>
          <w:rFonts w:ascii="Century Gothic" w:hAnsi="Century Gothic"/>
          <w:color w:val="595959" w:themeColor="text1" w:themeTint="A6"/>
        </w:rPr>
        <w:t xml:space="preserve">y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spacing w:val="2"/>
        </w:rPr>
        <w:t>o</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r</w:t>
      </w:r>
      <w:r w:rsidRPr="00527E0F">
        <w:rPr>
          <w:rFonts w:ascii="Century Gothic" w:hAnsi="Century Gothic"/>
          <w:color w:val="595959" w:themeColor="text1" w:themeTint="A6"/>
          <w:spacing w:val="7"/>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as</w:t>
      </w:r>
      <w:r w:rsidRPr="00527E0F">
        <w:rPr>
          <w:rFonts w:ascii="Century Gothic" w:hAnsi="Century Gothic"/>
          <w:color w:val="595959" w:themeColor="text1" w:themeTint="A6"/>
          <w:spacing w:val="8"/>
        </w:rPr>
        <w:t xml:space="preserve"> </w:t>
      </w:r>
      <w:r w:rsidRPr="00527E0F">
        <w:rPr>
          <w:rFonts w:ascii="Century Gothic" w:hAnsi="Century Gothic"/>
          <w:color w:val="595959" w:themeColor="text1" w:themeTint="A6"/>
        </w:rPr>
        <w:t>b</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es</w:t>
      </w:r>
      <w:r w:rsidRPr="00527E0F">
        <w:rPr>
          <w:rFonts w:ascii="Century Gothic" w:hAnsi="Century Gothic"/>
          <w:color w:val="595959" w:themeColor="text1" w:themeTint="A6"/>
          <w:spacing w:val="7"/>
        </w:rPr>
        <w:t xml:space="preserve"> </w:t>
      </w:r>
      <w:r w:rsidRPr="00527E0F">
        <w:rPr>
          <w:rFonts w:ascii="Century Gothic" w:hAnsi="Century Gothic"/>
          <w:color w:val="595959" w:themeColor="text1" w:themeTint="A6"/>
        </w:rPr>
        <w:t>de</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rPr>
        <w:t>tos</w:t>
      </w:r>
      <w:r w:rsidRPr="00527E0F">
        <w:rPr>
          <w:rFonts w:ascii="Century Gothic" w:hAnsi="Century Gothic"/>
          <w:color w:val="595959" w:themeColor="text1" w:themeTint="A6"/>
          <w:spacing w:val="7"/>
        </w:rPr>
        <w:t xml:space="preserve"> </w:t>
      </w:r>
      <w:r w:rsidRPr="00527E0F">
        <w:rPr>
          <w:rFonts w:ascii="Century Gothic" w:hAnsi="Century Gothic"/>
          <w:color w:val="595959" w:themeColor="text1" w:themeTint="A6"/>
        </w:rPr>
        <w:t>p</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a</w:t>
      </w:r>
      <w:r w:rsidRPr="00527E0F">
        <w:rPr>
          <w:rFonts w:ascii="Century Gothic" w:hAnsi="Century Gothic"/>
          <w:color w:val="595959" w:themeColor="text1" w:themeTint="A6"/>
          <w:spacing w:val="6"/>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w:t>
      </w:r>
      <w:r w:rsidRPr="00527E0F">
        <w:rPr>
          <w:rFonts w:ascii="Century Gothic" w:hAnsi="Century Gothic"/>
          <w:color w:val="595959" w:themeColor="text1" w:themeTint="A6"/>
          <w:spacing w:val="7"/>
        </w:rPr>
        <w:t xml:space="preserve">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tru</w:t>
      </w:r>
      <w:r w:rsidRPr="00527E0F">
        <w:rPr>
          <w:rFonts w:ascii="Century Gothic" w:hAnsi="Century Gothic"/>
          <w:color w:val="595959" w:themeColor="text1" w:themeTint="A6"/>
          <w:spacing w:val="1"/>
        </w:rPr>
        <w:t>cci</w:t>
      </w:r>
      <w:r w:rsidRPr="00527E0F">
        <w:rPr>
          <w:rFonts w:ascii="Century Gothic" w:hAnsi="Century Gothic"/>
          <w:color w:val="595959" w:themeColor="text1" w:themeTint="A6"/>
        </w:rPr>
        <w:t>ón</w:t>
      </w:r>
      <w:r w:rsidRPr="00527E0F">
        <w:rPr>
          <w:rFonts w:ascii="Century Gothic" w:hAnsi="Century Gothic"/>
          <w:color w:val="595959" w:themeColor="text1" w:themeTint="A6"/>
          <w:spacing w:val="15"/>
        </w:rPr>
        <w:t xml:space="preserve"> </w:t>
      </w:r>
      <w:r w:rsidRPr="00527E0F">
        <w:rPr>
          <w:rFonts w:ascii="Century Gothic" w:hAnsi="Century Gothic"/>
          <w:color w:val="595959" w:themeColor="text1" w:themeTint="A6"/>
        </w:rPr>
        <w:t>d</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rPr>
        <w:t>l D</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r</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tor</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rPr>
        <w:t>o.</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spacing w:val="-1"/>
        </w:rPr>
        <w:t>P</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ter</w:t>
      </w:r>
      <w:r w:rsidRPr="00527E0F">
        <w:rPr>
          <w:rFonts w:ascii="Century Gothic" w:hAnsi="Century Gothic"/>
          <w:color w:val="595959" w:themeColor="text1" w:themeTint="A6"/>
          <w:spacing w:val="2"/>
        </w:rPr>
        <w:t>i</w:t>
      </w:r>
      <w:r w:rsidRPr="00527E0F">
        <w:rPr>
          <w:rFonts w:ascii="Century Gothic" w:hAnsi="Century Gothic"/>
          <w:color w:val="595959" w:themeColor="text1" w:themeTint="A6"/>
        </w:rPr>
        <w:t>or</w:t>
      </w:r>
      <w:r w:rsidRPr="00527E0F">
        <w:rPr>
          <w:rFonts w:ascii="Century Gothic" w:hAnsi="Century Gothic"/>
          <w:color w:val="595959" w:themeColor="text1" w:themeTint="A6"/>
          <w:spacing w:val="5"/>
        </w:rPr>
        <w:t>m</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te</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en 2011</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e</w:t>
      </w:r>
      <w:r w:rsidRPr="00527E0F">
        <w:rPr>
          <w:rFonts w:ascii="Century Gothic" w:hAnsi="Century Gothic"/>
          <w:color w:val="595959" w:themeColor="text1" w:themeTint="A6"/>
          <w:spacing w:val="5"/>
        </w:rPr>
        <w:t xml:space="preserve"> </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g</w:t>
      </w:r>
      <w:r w:rsidRPr="00527E0F">
        <w:rPr>
          <w:rFonts w:ascii="Century Gothic" w:hAnsi="Century Gothic"/>
          <w:color w:val="595959" w:themeColor="text1" w:themeTint="A6"/>
          <w:spacing w:val="3"/>
        </w:rPr>
        <w:t>r</w:t>
      </w:r>
      <w:r w:rsidRPr="00527E0F">
        <w:rPr>
          <w:rFonts w:ascii="Century Gothic" w:hAnsi="Century Gothic"/>
          <w:color w:val="595959" w:themeColor="text1" w:themeTint="A6"/>
        </w:rPr>
        <w:t>ó</w:t>
      </w:r>
      <w:r w:rsidRPr="00527E0F">
        <w:rPr>
          <w:rFonts w:ascii="Century Gothic" w:hAnsi="Century Gothic"/>
          <w:color w:val="595959" w:themeColor="text1" w:themeTint="A6"/>
          <w:spacing w:val="3"/>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a</w:t>
      </w:r>
      <w:r w:rsidRPr="00527E0F">
        <w:rPr>
          <w:rFonts w:ascii="Century Gothic" w:hAnsi="Century Gothic"/>
          <w:color w:val="595959" w:themeColor="text1" w:themeTint="A6"/>
          <w:spacing w:val="4"/>
        </w:rPr>
        <w:t xml:space="preserve"> </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2"/>
        </w:rPr>
        <w:t>f</w:t>
      </w:r>
      <w:r w:rsidRPr="00527E0F">
        <w:rPr>
          <w:rFonts w:ascii="Century Gothic" w:hAnsi="Century Gothic"/>
          <w:color w:val="595959" w:themeColor="text1" w:themeTint="A6"/>
        </w:rPr>
        <w:t>o</w:t>
      </w:r>
      <w:r w:rsidRPr="00527E0F">
        <w:rPr>
          <w:rFonts w:ascii="Century Gothic" w:hAnsi="Century Gothic"/>
          <w:color w:val="595959" w:themeColor="text1" w:themeTint="A6"/>
          <w:spacing w:val="-2"/>
        </w:rPr>
        <w:t>r</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ón</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rPr>
        <w:t>pr</w:t>
      </w:r>
      <w:r w:rsidRPr="00527E0F">
        <w:rPr>
          <w:rFonts w:ascii="Century Gothic" w:hAnsi="Century Gothic"/>
          <w:color w:val="595959" w:themeColor="text1" w:themeTint="A6"/>
          <w:spacing w:val="2"/>
        </w:rPr>
        <w:t>o</w:t>
      </w:r>
      <w:r w:rsidRPr="00527E0F">
        <w:rPr>
          <w:rFonts w:ascii="Century Gothic" w:hAnsi="Century Gothic"/>
          <w:color w:val="595959" w:themeColor="text1" w:themeTint="A6"/>
          <w:spacing w:val="-1"/>
        </w:rPr>
        <w:t>v</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2"/>
        </w:rPr>
        <w:t>en</w:t>
      </w:r>
      <w:r w:rsidRPr="00527E0F">
        <w:rPr>
          <w:rFonts w:ascii="Century Gothic" w:hAnsi="Century Gothic"/>
          <w:color w:val="595959" w:themeColor="text1" w:themeTint="A6"/>
        </w:rPr>
        <w:t>te d</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rPr>
        <w:t>l Censo</w:t>
      </w:r>
      <w:r w:rsidRPr="00527E0F">
        <w:rPr>
          <w:rFonts w:ascii="Century Gothic" w:hAnsi="Century Gothic"/>
          <w:color w:val="595959" w:themeColor="text1" w:themeTint="A6"/>
          <w:spacing w:val="53"/>
        </w:rPr>
        <w:t xml:space="preserve"> </w:t>
      </w:r>
      <w:r w:rsidRPr="00527E0F">
        <w:rPr>
          <w:rFonts w:ascii="Century Gothic" w:hAnsi="Century Gothic"/>
          <w:color w:val="595959" w:themeColor="text1" w:themeTint="A6"/>
        </w:rPr>
        <w:t>Na</w:t>
      </w:r>
      <w:r w:rsidRPr="00527E0F">
        <w:rPr>
          <w:rFonts w:ascii="Century Gothic" w:hAnsi="Century Gothic"/>
          <w:color w:val="595959" w:themeColor="text1" w:themeTint="A6"/>
          <w:spacing w:val="1"/>
        </w:rPr>
        <w:t>ci</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2"/>
        </w:rPr>
        <w:t>a</w:t>
      </w:r>
      <w:r w:rsidRPr="00527E0F">
        <w:rPr>
          <w:rFonts w:ascii="Century Gothic" w:hAnsi="Century Gothic"/>
          <w:color w:val="595959" w:themeColor="text1" w:themeTint="A6"/>
        </w:rPr>
        <w:t>l</w:t>
      </w:r>
      <w:r w:rsidRPr="00527E0F">
        <w:rPr>
          <w:rFonts w:ascii="Century Gothic" w:hAnsi="Century Gothic"/>
          <w:color w:val="595959" w:themeColor="text1" w:themeTint="A6"/>
          <w:spacing w:val="50"/>
        </w:rPr>
        <w:t xml:space="preserve"> </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ó</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spacing w:val="-1"/>
        </w:rPr>
        <w:t>ic</w:t>
      </w:r>
      <w:r w:rsidRPr="00527E0F">
        <w:rPr>
          <w:rFonts w:ascii="Century Gothic" w:hAnsi="Century Gothic"/>
          <w:color w:val="595959" w:themeColor="text1" w:themeTint="A6"/>
        </w:rPr>
        <w:t>o</w:t>
      </w:r>
      <w:r w:rsidRPr="00527E0F">
        <w:rPr>
          <w:rFonts w:ascii="Century Gothic" w:hAnsi="Century Gothic"/>
          <w:color w:val="595959" w:themeColor="text1" w:themeTint="A6"/>
          <w:spacing w:val="52"/>
        </w:rPr>
        <w:t xml:space="preserve"> </w:t>
      </w:r>
      <w:r w:rsidRPr="00527E0F">
        <w:rPr>
          <w:rFonts w:ascii="Century Gothic" w:hAnsi="Century Gothic"/>
          <w:color w:val="595959" w:themeColor="text1" w:themeTint="A6"/>
        </w:rPr>
        <w:t>2</w:t>
      </w:r>
      <w:r w:rsidRPr="00527E0F">
        <w:rPr>
          <w:rFonts w:ascii="Century Gothic" w:hAnsi="Century Gothic"/>
          <w:color w:val="595959" w:themeColor="text1" w:themeTint="A6"/>
          <w:spacing w:val="-1"/>
        </w:rPr>
        <w:t>0</w:t>
      </w:r>
      <w:r w:rsidRPr="00527E0F">
        <w:rPr>
          <w:rFonts w:ascii="Century Gothic" w:hAnsi="Century Gothic"/>
          <w:color w:val="595959" w:themeColor="text1" w:themeTint="A6"/>
        </w:rPr>
        <w:t>10</w:t>
      </w:r>
      <w:r w:rsidRPr="00527E0F">
        <w:rPr>
          <w:rFonts w:ascii="Century Gothic" w:hAnsi="Century Gothic"/>
          <w:color w:val="595959" w:themeColor="text1" w:themeTint="A6"/>
          <w:spacing w:val="52"/>
        </w:rPr>
        <w:t xml:space="preserve"> </w:t>
      </w:r>
      <w:r w:rsidRPr="00527E0F">
        <w:rPr>
          <w:rFonts w:ascii="Century Gothic" w:hAnsi="Century Gothic"/>
          <w:color w:val="595959" w:themeColor="text1" w:themeTint="A6"/>
          <w:spacing w:val="1"/>
        </w:rPr>
        <w:t>para</w:t>
      </w:r>
      <w:r w:rsidRPr="00527E0F">
        <w:rPr>
          <w:rFonts w:ascii="Century Gothic" w:hAnsi="Century Gothic"/>
          <w:color w:val="595959" w:themeColor="text1" w:themeTint="A6"/>
          <w:spacing w:val="52"/>
        </w:rPr>
        <w:t xml:space="preserve"> </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3"/>
        </w:rPr>
        <w:t>o</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p</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e</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tar y</w:t>
      </w:r>
      <w:r w:rsidRPr="00527E0F">
        <w:rPr>
          <w:rFonts w:ascii="Century Gothic" w:hAnsi="Century Gothic"/>
          <w:color w:val="595959" w:themeColor="text1" w:themeTint="A6"/>
          <w:spacing w:val="46"/>
        </w:rPr>
        <w:t xml:space="preserve"> </w:t>
      </w:r>
      <w:r w:rsidRPr="00527E0F">
        <w:rPr>
          <w:rFonts w:ascii="Century Gothic" w:hAnsi="Century Gothic"/>
          <w:color w:val="595959" w:themeColor="text1" w:themeTint="A6"/>
          <w:spacing w:val="2"/>
        </w:rPr>
        <w:t>f</w:t>
      </w:r>
      <w:r w:rsidRPr="00527E0F">
        <w:rPr>
          <w:rFonts w:ascii="Century Gothic" w:hAnsi="Century Gothic"/>
          <w:color w:val="595959" w:themeColor="text1" w:themeTint="A6"/>
        </w:rPr>
        <w:t>orta</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spacing w:val="2"/>
        </w:rPr>
        <w:t>e</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er</w:t>
      </w:r>
      <w:r w:rsidRPr="00527E0F">
        <w:rPr>
          <w:rFonts w:ascii="Century Gothic" w:hAnsi="Century Gothic"/>
          <w:color w:val="595959" w:themeColor="text1" w:themeTint="A6"/>
          <w:spacing w:val="54"/>
        </w:rPr>
        <w:t xml:space="preserve"> </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rPr>
        <w:t xml:space="preserve">a </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2"/>
        </w:rPr>
        <w:t>f</w:t>
      </w:r>
      <w:r w:rsidRPr="00527E0F">
        <w:rPr>
          <w:rFonts w:ascii="Century Gothic" w:hAnsi="Century Gothic"/>
          <w:color w:val="595959" w:themeColor="text1" w:themeTint="A6"/>
        </w:rPr>
        <w:t>or</w:t>
      </w:r>
      <w:r w:rsidRPr="00527E0F">
        <w:rPr>
          <w:rFonts w:ascii="Century Gothic" w:hAnsi="Century Gothic"/>
          <w:color w:val="595959" w:themeColor="text1" w:themeTint="A6"/>
          <w:spacing w:val="5"/>
        </w:rPr>
        <w:t>m</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ón</w:t>
      </w:r>
      <w:r w:rsidRPr="00527E0F">
        <w:rPr>
          <w:rFonts w:ascii="Century Gothic" w:hAnsi="Century Gothic"/>
          <w:color w:val="595959" w:themeColor="text1" w:themeTint="A6"/>
          <w:spacing w:val="1"/>
        </w:rPr>
        <w:t xml:space="preserve"> </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x</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spacing w:val="2"/>
        </w:rPr>
        <w:t>t</w:t>
      </w:r>
      <w:r w:rsidRPr="00527E0F">
        <w:rPr>
          <w:rFonts w:ascii="Century Gothic" w:hAnsi="Century Gothic"/>
          <w:color w:val="595959" w:themeColor="text1" w:themeTint="A6"/>
        </w:rPr>
        <w:t>e de</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rPr>
        <w:t>a</w:t>
      </w:r>
      <w:r w:rsidRPr="00527E0F">
        <w:rPr>
          <w:rFonts w:ascii="Century Gothic" w:hAnsi="Century Gothic"/>
          <w:color w:val="595959" w:themeColor="text1" w:themeTint="A6"/>
          <w:spacing w:val="-1"/>
        </w:rPr>
        <w:t>q</w:t>
      </w:r>
      <w:r w:rsidRPr="00527E0F">
        <w:rPr>
          <w:rFonts w:ascii="Century Gothic" w:hAnsi="Century Gothic"/>
          <w:color w:val="595959" w:themeColor="text1" w:themeTint="A6"/>
        </w:rPr>
        <w:t>u</w:t>
      </w:r>
      <w:r w:rsidRPr="00527E0F">
        <w:rPr>
          <w:rFonts w:ascii="Century Gothic" w:hAnsi="Century Gothic"/>
          <w:color w:val="595959" w:themeColor="text1" w:themeTint="A6"/>
          <w:spacing w:val="1"/>
        </w:rPr>
        <w:t>e</w:t>
      </w:r>
      <w:r w:rsidRPr="00527E0F">
        <w:rPr>
          <w:rFonts w:ascii="Century Gothic" w:hAnsi="Century Gothic"/>
          <w:color w:val="595959" w:themeColor="text1" w:themeTint="A6"/>
        </w:rPr>
        <w:t>l</w:t>
      </w:r>
      <w:r w:rsidRPr="00527E0F">
        <w:rPr>
          <w:rFonts w:ascii="Century Gothic" w:hAnsi="Century Gothic"/>
          <w:color w:val="595959" w:themeColor="text1" w:themeTint="A6"/>
          <w:spacing w:val="2"/>
        </w:rPr>
        <w:t xml:space="preserve"> </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w:t>
      </w:r>
      <w:r w:rsidRPr="00527E0F">
        <w:rPr>
          <w:rFonts w:ascii="Century Gothic" w:hAnsi="Century Gothic"/>
          <w:color w:val="595959" w:themeColor="text1" w:themeTint="A6"/>
          <w:spacing w:val="2"/>
        </w:rPr>
        <w:t>o</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c</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s</w:t>
      </w:r>
      <w:r w:rsidRPr="00527E0F">
        <w:rPr>
          <w:rFonts w:ascii="Century Gothic" w:hAnsi="Century Gothic"/>
          <w:color w:val="595959" w:themeColor="text1" w:themeTint="A6"/>
        </w:rPr>
        <w:t xml:space="preserve">. </w:t>
      </w:r>
    </w:p>
    <w:p w14:paraId="365C1683" w14:textId="77777777" w:rsidR="00443329" w:rsidRPr="00527E0F" w:rsidRDefault="00443329" w:rsidP="00443329">
      <w:pPr>
        <w:jc w:val="both"/>
        <w:rPr>
          <w:rFonts w:ascii="Century Gothic" w:hAnsi="Century Gothic"/>
          <w:color w:val="595959" w:themeColor="text1" w:themeTint="A6"/>
        </w:rPr>
      </w:pPr>
    </w:p>
    <w:p w14:paraId="308E0160" w14:textId="1DAD3631" w:rsidR="00492810" w:rsidRDefault="00492810" w:rsidP="00443329">
      <w:pPr>
        <w:jc w:val="both"/>
        <w:rPr>
          <w:rFonts w:ascii="Century Gothic" w:hAnsi="Century Gothic"/>
          <w:color w:val="595959" w:themeColor="text1" w:themeTint="A6"/>
          <w:spacing w:val="-1"/>
        </w:rPr>
      </w:pPr>
      <w:r w:rsidRPr="00527E0F">
        <w:rPr>
          <w:rFonts w:ascii="Century Gothic" w:hAnsi="Century Gothic"/>
          <w:color w:val="595959" w:themeColor="text1" w:themeTint="A6"/>
        </w:rPr>
        <w:t>F</w:t>
      </w:r>
      <w:r w:rsidRPr="00527E0F">
        <w:rPr>
          <w:rFonts w:ascii="Century Gothic" w:hAnsi="Century Gothic"/>
          <w:color w:val="595959" w:themeColor="text1" w:themeTint="A6"/>
          <w:spacing w:val="1"/>
        </w:rPr>
        <w:t>i</w:t>
      </w:r>
      <w:r w:rsidRPr="00527E0F">
        <w:rPr>
          <w:rFonts w:ascii="Century Gothic" w:hAnsi="Century Gothic"/>
          <w:color w:val="595959" w:themeColor="text1" w:themeTint="A6"/>
        </w:rPr>
        <w:t>n</w:t>
      </w:r>
      <w:r w:rsidRPr="00527E0F">
        <w:rPr>
          <w:rFonts w:ascii="Century Gothic" w:hAnsi="Century Gothic"/>
          <w:color w:val="595959" w:themeColor="text1" w:themeTint="A6"/>
          <w:spacing w:val="1"/>
        </w:rPr>
        <w:t>a</w:t>
      </w:r>
      <w:r w:rsidRPr="00527E0F">
        <w:rPr>
          <w:rFonts w:ascii="Century Gothic" w:hAnsi="Century Gothic"/>
          <w:color w:val="595959" w:themeColor="text1" w:themeTint="A6"/>
          <w:spacing w:val="-1"/>
        </w:rPr>
        <w:t>l</w:t>
      </w:r>
      <w:r w:rsidRPr="00527E0F">
        <w:rPr>
          <w:rFonts w:ascii="Century Gothic" w:hAnsi="Century Gothic"/>
          <w:color w:val="595959" w:themeColor="text1" w:themeTint="A6"/>
          <w:spacing w:val="4"/>
        </w:rPr>
        <w:t>m</w:t>
      </w:r>
      <w:r w:rsidRPr="00527E0F">
        <w:rPr>
          <w:rFonts w:ascii="Century Gothic" w:hAnsi="Century Gothic"/>
          <w:color w:val="595959" w:themeColor="text1" w:themeTint="A6"/>
        </w:rPr>
        <w:t>e</w:t>
      </w:r>
      <w:r w:rsidRPr="00527E0F">
        <w:rPr>
          <w:rFonts w:ascii="Century Gothic" w:hAnsi="Century Gothic"/>
          <w:color w:val="595959" w:themeColor="text1" w:themeTint="A6"/>
          <w:spacing w:val="-1"/>
        </w:rPr>
        <w:t>n</w:t>
      </w:r>
      <w:r w:rsidRPr="00527E0F">
        <w:rPr>
          <w:rFonts w:ascii="Century Gothic" w:hAnsi="Century Gothic"/>
          <w:color w:val="595959" w:themeColor="text1" w:themeTint="A6"/>
        </w:rPr>
        <w:t>te, luego de un proceso de comprensión y depuración de la información consolidada,</w:t>
      </w:r>
      <w:r w:rsidRPr="00527E0F">
        <w:rPr>
          <w:rFonts w:ascii="Century Gothic" w:hAnsi="Century Gothic"/>
          <w:color w:val="595959" w:themeColor="text1" w:themeTint="A6"/>
          <w:spacing w:val="-1"/>
        </w:rPr>
        <w:t xml:space="preserve"> en 2012 se realizó la primera publicación del DIEE, el cual incluyó únicamente a las sociedades y personas naturales obligadas a llevar contabilidad. En el año 2013, se incorporó las unidades económicas que se encuentran dentro del Régimen Impositivo Simplificado (RISE) para alcanzar una cobertura que se aproxime al sector real de la economía y se reprocesó la información del año anterior a fin de mantener información histórica comp</w:t>
      </w:r>
      <w:r w:rsidR="008C3135">
        <w:rPr>
          <w:rFonts w:ascii="Century Gothic" w:hAnsi="Century Gothic"/>
          <w:color w:val="595959" w:themeColor="text1" w:themeTint="A6"/>
          <w:spacing w:val="-1"/>
        </w:rPr>
        <w:t>a</w:t>
      </w:r>
      <w:r w:rsidRPr="00527E0F">
        <w:rPr>
          <w:rFonts w:ascii="Century Gothic" w:hAnsi="Century Gothic"/>
          <w:color w:val="595959" w:themeColor="text1" w:themeTint="A6"/>
          <w:spacing w:val="-1"/>
        </w:rPr>
        <w:t>rable.</w:t>
      </w:r>
    </w:p>
    <w:p w14:paraId="5B053629" w14:textId="77777777" w:rsidR="00443329" w:rsidRPr="00527E0F" w:rsidRDefault="00443329" w:rsidP="00443329">
      <w:pPr>
        <w:jc w:val="both"/>
        <w:rPr>
          <w:rFonts w:ascii="Century Gothic" w:hAnsi="Century Gothic"/>
          <w:color w:val="595959" w:themeColor="text1" w:themeTint="A6"/>
        </w:rPr>
      </w:pPr>
    </w:p>
    <w:p w14:paraId="52D7942B" w14:textId="71FBA4C0" w:rsidR="00492810" w:rsidRDefault="00492810" w:rsidP="00443329">
      <w:pPr>
        <w:jc w:val="both"/>
        <w:rPr>
          <w:rFonts w:ascii="Century Gothic" w:hAnsi="Century Gothic"/>
          <w:color w:val="595959" w:themeColor="text1" w:themeTint="A6"/>
          <w:spacing w:val="-1"/>
        </w:rPr>
      </w:pPr>
      <w:r w:rsidRPr="00527E0F">
        <w:rPr>
          <w:rFonts w:ascii="Century Gothic" w:hAnsi="Century Gothic"/>
          <w:color w:val="595959" w:themeColor="text1" w:themeTint="A6"/>
          <w:spacing w:val="-1"/>
        </w:rPr>
        <w:t xml:space="preserve">En el Ecuador existen otras instituciones públicas que captan información para sus fines administrativos, sin embargo, tienen el potencial de fortalecer la cobertura, validación de la información o incorporar nuevas variables de interés para el DIEE. Por ello, en el 2016 se incorporó la información de las unidades educativas a partir de los registros del Ministerio de Educación. </w:t>
      </w:r>
    </w:p>
    <w:p w14:paraId="5DEC3C21" w14:textId="77777777" w:rsidR="00443329" w:rsidRPr="00527E0F" w:rsidRDefault="00443329" w:rsidP="00443329">
      <w:pPr>
        <w:jc w:val="both"/>
        <w:rPr>
          <w:rFonts w:ascii="Century Gothic" w:hAnsi="Century Gothic"/>
          <w:color w:val="595959" w:themeColor="text1" w:themeTint="A6"/>
          <w:spacing w:val="-1"/>
        </w:rPr>
      </w:pPr>
    </w:p>
    <w:p w14:paraId="335C1CB9" w14:textId="6C44080D" w:rsidR="00492810" w:rsidRPr="00527E0F" w:rsidRDefault="00492810" w:rsidP="00443329">
      <w:pPr>
        <w:jc w:val="both"/>
        <w:rPr>
          <w:rFonts w:ascii="Century Gothic" w:hAnsi="Century Gothic"/>
          <w:color w:val="595959" w:themeColor="text1" w:themeTint="A6"/>
          <w:spacing w:val="-1"/>
        </w:rPr>
      </w:pPr>
      <w:r w:rsidRPr="00527E0F">
        <w:rPr>
          <w:rFonts w:ascii="Century Gothic" w:hAnsi="Century Gothic"/>
          <w:color w:val="595959" w:themeColor="text1" w:themeTint="A6"/>
          <w:spacing w:val="-1"/>
        </w:rPr>
        <w:t>Si bien el DIEE se construye a partir de registros</w:t>
      </w:r>
      <w:r w:rsidR="009A2E7E">
        <w:rPr>
          <w:rFonts w:ascii="Century Gothic" w:hAnsi="Century Gothic"/>
          <w:color w:val="595959" w:themeColor="text1" w:themeTint="A6"/>
          <w:spacing w:val="-1"/>
        </w:rPr>
        <w:t xml:space="preserve"> </w:t>
      </w:r>
      <w:r w:rsidR="008C3135">
        <w:rPr>
          <w:rFonts w:ascii="Century Gothic" w:hAnsi="Century Gothic"/>
          <w:color w:val="595959" w:themeColor="text1" w:themeTint="A6"/>
          <w:spacing w:val="-1"/>
        </w:rPr>
        <w:t>administrativos</w:t>
      </w:r>
      <w:r w:rsidRPr="00527E0F">
        <w:rPr>
          <w:rFonts w:ascii="Century Gothic" w:hAnsi="Century Gothic"/>
          <w:color w:val="595959" w:themeColor="text1" w:themeTint="A6"/>
          <w:spacing w:val="-1"/>
        </w:rPr>
        <w:t>, también insume información de otras fuentes internas, como por ejemplo las encuestas que el INEC levanta; estas fuentes aportan a los procesos de validación, depuración y análisis, que mejoran sustancialmente la consistencia de la información del directorio.</w:t>
      </w:r>
    </w:p>
    <w:p w14:paraId="6FC6BCA5" w14:textId="77777777" w:rsidR="00492810" w:rsidRPr="00CF0C1E" w:rsidRDefault="00492810" w:rsidP="00CF0C1E">
      <w:pPr>
        <w:rPr>
          <w:rFonts w:ascii="Century Gothic" w:hAnsi="Century Gothic"/>
          <w:b/>
          <w:color w:val="595959" w:themeColor="text1" w:themeTint="A6"/>
        </w:rPr>
      </w:pPr>
      <w:r w:rsidRPr="00527E0F">
        <w:rPr>
          <w:rFonts w:ascii="Century Gothic" w:eastAsia="Times New Roman" w:hAnsi="Century Gothic" w:cs="Arial"/>
          <w:color w:val="595959" w:themeColor="text1" w:themeTint="A6"/>
          <w:lang w:eastAsia="es-EC"/>
        </w:rPr>
        <w:br w:type="page"/>
      </w:r>
      <w:bookmarkStart w:id="8" w:name="_Toc381774255"/>
      <w:bookmarkStart w:id="9" w:name="_Toc382901671"/>
      <w:bookmarkStart w:id="10" w:name="_Toc412998101"/>
    </w:p>
    <w:p w14:paraId="3640052C" w14:textId="4093AA47" w:rsidR="00492810" w:rsidRPr="00443329" w:rsidRDefault="00492810" w:rsidP="00443329">
      <w:pPr>
        <w:pStyle w:val="TITULOINEC"/>
      </w:pPr>
      <w:bookmarkStart w:id="11" w:name="_Toc53757407"/>
      <w:r w:rsidRPr="00443329">
        <w:t>DESCRIPCIÓN DEL PROCESO DE PRODUCCIÓN DEL DIRECTORIO DE EMPRESAS Y ESTABLECIMIENTOS 20</w:t>
      </w:r>
      <w:bookmarkEnd w:id="11"/>
      <w:r w:rsidR="00D8328C">
        <w:t>2</w:t>
      </w:r>
      <w:r w:rsidR="00E75E1D">
        <w:t>1</w:t>
      </w:r>
    </w:p>
    <w:p w14:paraId="51132CF2" w14:textId="77777777" w:rsidR="00492810" w:rsidRPr="00443329" w:rsidRDefault="00492810" w:rsidP="00492810">
      <w:pPr>
        <w:pStyle w:val="Sinespaciado"/>
        <w:rPr>
          <w:rFonts w:ascii="Century Gothic" w:hAnsi="Century Gothic"/>
          <w:sz w:val="24"/>
        </w:rPr>
      </w:pPr>
    </w:p>
    <w:p w14:paraId="67B01016" w14:textId="77777777" w:rsidR="00492810" w:rsidRPr="00527E0F" w:rsidRDefault="00492810" w:rsidP="00CF0C1E">
      <w:pPr>
        <w:rPr>
          <w:rFonts w:ascii="Century Gothic" w:hAnsi="Century Gothic"/>
          <w:color w:val="595959" w:themeColor="text1" w:themeTint="A6"/>
          <w:lang w:eastAsia="es-EC"/>
        </w:rPr>
      </w:pPr>
    </w:p>
    <w:p w14:paraId="68660377" w14:textId="52B9B491" w:rsidR="00492810" w:rsidRPr="00007B51" w:rsidRDefault="00492810" w:rsidP="00007B51">
      <w:pPr>
        <w:pStyle w:val="TITULOINEC"/>
        <w:numPr>
          <w:ilvl w:val="0"/>
          <w:numId w:val="33"/>
        </w:numPr>
        <w:jc w:val="left"/>
      </w:pPr>
      <w:bookmarkStart w:id="12" w:name="_Toc53757408"/>
      <w:r w:rsidRPr="00007B51">
        <w:t>PLANIFICACIÓN</w:t>
      </w:r>
      <w:bookmarkEnd w:id="8"/>
      <w:bookmarkEnd w:id="9"/>
      <w:bookmarkEnd w:id="10"/>
      <w:bookmarkEnd w:id="12"/>
    </w:p>
    <w:p w14:paraId="2C9FE684" w14:textId="77777777" w:rsidR="00492810" w:rsidRPr="00443329" w:rsidRDefault="00492810" w:rsidP="00CF0C1E">
      <w:pPr>
        <w:rPr>
          <w:rFonts w:ascii="Century Gothic" w:hAnsi="Century Gothic"/>
          <w:color w:val="595959" w:themeColor="text1" w:themeTint="A6"/>
        </w:rPr>
      </w:pPr>
    </w:p>
    <w:p w14:paraId="0D5B1A37"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rPr>
        <w:t>El Directorio de Empresas forma parte de las operaciones estadísticas continuas que el INEC realiza anualmente, y se construye a partir del Modelo de Producción Estadístico institucional. En este modelo, la Planificación constituye la primera fase que toda operación estadística debe cumplir; en ella</w:t>
      </w:r>
      <w:r w:rsidRPr="00527E0F">
        <w:rPr>
          <w:rFonts w:ascii="Century Gothic" w:hAnsi="Century Gothic"/>
          <w:color w:val="595959" w:themeColor="text1" w:themeTint="A6"/>
          <w:lang w:eastAsia="es-EC"/>
        </w:rPr>
        <w:t xml:space="preserve"> se identifica necesidades de información de los distintos usuarios del DIEE y su vinculación a los instrumentos de planificación nacional. </w:t>
      </w:r>
    </w:p>
    <w:p w14:paraId="7B0975A9" w14:textId="77777777" w:rsidR="00492810" w:rsidRPr="00527E0F" w:rsidRDefault="00492810" w:rsidP="00443329">
      <w:pPr>
        <w:jc w:val="both"/>
        <w:rPr>
          <w:rFonts w:ascii="Century Gothic" w:hAnsi="Century Gothic"/>
          <w:color w:val="595959" w:themeColor="text1" w:themeTint="A6"/>
          <w:lang w:eastAsia="es-EC"/>
        </w:rPr>
      </w:pPr>
    </w:p>
    <w:p w14:paraId="34F3D1C0" w14:textId="07AC40F8"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A partir de ello, se ajustan los objetivos y se delimita la operación estadística, además </w:t>
      </w:r>
      <w:r w:rsidR="00621176">
        <w:rPr>
          <w:rFonts w:ascii="Century Gothic" w:hAnsi="Century Gothic"/>
          <w:color w:val="595959" w:themeColor="text1" w:themeTint="A6"/>
          <w:lang w:eastAsia="es-EC"/>
        </w:rPr>
        <w:t xml:space="preserve"> se</w:t>
      </w:r>
      <w:r w:rsidR="009A2E7E">
        <w:rPr>
          <w:rFonts w:ascii="Century Gothic" w:hAnsi="Century Gothic"/>
          <w:color w:val="595959" w:themeColor="text1" w:themeTint="A6"/>
          <w:lang w:eastAsia="es-EC"/>
        </w:rPr>
        <w:t xml:space="preserve"> </w:t>
      </w:r>
      <w:r w:rsidRPr="00527E0F">
        <w:rPr>
          <w:rFonts w:ascii="Century Gothic" w:hAnsi="Century Gothic"/>
          <w:color w:val="595959" w:themeColor="text1" w:themeTint="A6"/>
          <w:lang w:eastAsia="es-EC"/>
        </w:rPr>
        <w:t xml:space="preserve">estima los recursos que serán necesarios para llevar a cabo </w:t>
      </w:r>
      <w:r w:rsidR="00621176">
        <w:rPr>
          <w:rFonts w:ascii="Century Gothic" w:hAnsi="Century Gothic"/>
          <w:color w:val="595959" w:themeColor="text1" w:themeTint="A6"/>
          <w:lang w:eastAsia="es-EC"/>
        </w:rPr>
        <w:t xml:space="preserve">su </w:t>
      </w:r>
      <w:r w:rsidRPr="00527E0F">
        <w:rPr>
          <w:rFonts w:ascii="Century Gothic" w:hAnsi="Century Gothic"/>
          <w:color w:val="595959" w:themeColor="text1" w:themeTint="A6"/>
          <w:lang w:eastAsia="es-EC"/>
        </w:rPr>
        <w:t>producción.</w:t>
      </w:r>
    </w:p>
    <w:p w14:paraId="08C2883F" w14:textId="77777777" w:rsidR="00492810" w:rsidRPr="00527E0F" w:rsidRDefault="00492810" w:rsidP="00443329">
      <w:pPr>
        <w:jc w:val="both"/>
        <w:rPr>
          <w:rFonts w:ascii="Century Gothic" w:hAnsi="Century Gothic"/>
          <w:color w:val="595959" w:themeColor="text1" w:themeTint="A6"/>
          <w:lang w:eastAsia="es-EC"/>
        </w:rPr>
      </w:pPr>
    </w:p>
    <w:p w14:paraId="29F19608"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Parte de las actividades desarrolladas en esta fase consiste en la revisión de documentos metodológicos, basados en el marco conceptual sobre el cual se asienta el Directorio de Empresas y de las buenas prácticas estadísticas.</w:t>
      </w:r>
    </w:p>
    <w:p w14:paraId="34156CC6" w14:textId="77777777" w:rsidR="00492810" w:rsidRPr="00527E0F" w:rsidRDefault="00492810" w:rsidP="00CF0C1E">
      <w:pPr>
        <w:rPr>
          <w:rFonts w:ascii="Century Gothic" w:hAnsi="Century Gothic" w:cs="Arial"/>
          <w:color w:val="595959" w:themeColor="text1" w:themeTint="A6"/>
          <w:lang w:eastAsia="es-EC"/>
        </w:rPr>
      </w:pPr>
    </w:p>
    <w:p w14:paraId="34FAC6CA" w14:textId="77777777" w:rsidR="00492810" w:rsidRPr="00527E0F" w:rsidRDefault="00492810" w:rsidP="00CF0C1E">
      <w:pPr>
        <w:rPr>
          <w:rFonts w:ascii="Century Gothic" w:hAnsi="Century Gothic" w:cs="Arial"/>
          <w:color w:val="595959" w:themeColor="text1" w:themeTint="A6"/>
          <w:lang w:eastAsia="es-EC"/>
        </w:rPr>
      </w:pPr>
    </w:p>
    <w:p w14:paraId="13A90B94" w14:textId="77777777" w:rsidR="00492810" w:rsidRPr="00176DC8" w:rsidRDefault="00492810" w:rsidP="00443329">
      <w:pPr>
        <w:pStyle w:val="SUBTITULOINEC"/>
        <w:numPr>
          <w:ilvl w:val="1"/>
          <w:numId w:val="33"/>
        </w:numPr>
        <w:jc w:val="left"/>
        <w:rPr>
          <w:sz w:val="32"/>
        </w:rPr>
      </w:pPr>
      <w:bookmarkStart w:id="13" w:name="_Toc412998102"/>
      <w:bookmarkStart w:id="14" w:name="_Toc53757409"/>
      <w:bookmarkStart w:id="15" w:name="_Toc381774256"/>
      <w:bookmarkStart w:id="16" w:name="_Toc382901672"/>
      <w:r w:rsidRPr="00176DC8">
        <w:rPr>
          <w:sz w:val="32"/>
        </w:rPr>
        <w:t>Identificación de necesidades de información</w:t>
      </w:r>
      <w:bookmarkEnd w:id="13"/>
      <w:bookmarkEnd w:id="14"/>
    </w:p>
    <w:p w14:paraId="572DD839" w14:textId="77777777" w:rsidR="00492810" w:rsidRPr="00527E0F" w:rsidRDefault="00492810" w:rsidP="00443329">
      <w:pPr>
        <w:spacing w:before="240"/>
        <w:jc w:val="both"/>
        <w:rPr>
          <w:rFonts w:ascii="Century Gothic" w:hAnsi="Century Gothic"/>
          <w:color w:val="595959" w:themeColor="text1" w:themeTint="A6"/>
          <w:lang w:val="es-ES"/>
        </w:rPr>
      </w:pPr>
      <w:bookmarkStart w:id="17" w:name="_Toc412998103"/>
      <w:r w:rsidRPr="00527E0F">
        <w:rPr>
          <w:rFonts w:ascii="Century Gothic" w:hAnsi="Century Gothic"/>
          <w:color w:val="595959" w:themeColor="text1" w:themeTint="A6"/>
          <w:lang w:eastAsia="es-EC"/>
        </w:rPr>
        <w:t xml:space="preserve">El Directorio de Empresas es una fuente de información estructurada referente a la dinámica empresarial con que cuenta el Ecuador. Una de las principales aplicaciones del Directorio de Empresas es </w:t>
      </w:r>
      <w:r w:rsidRPr="00527E0F">
        <w:rPr>
          <w:rFonts w:ascii="Century Gothic" w:hAnsi="Century Gothic"/>
          <w:color w:val="595959" w:themeColor="text1" w:themeTint="A6"/>
          <w:lang w:val="es-ES"/>
        </w:rPr>
        <w:t xml:space="preserve">actualizar los marcos muestrales para el desarrollo de encuestas económicas - empresariales, además de ser útil para el análisis estadístico, análisis de mercado y demografía empresarial. </w:t>
      </w:r>
    </w:p>
    <w:p w14:paraId="14CCEA09" w14:textId="77777777" w:rsidR="00492810" w:rsidRPr="00527E0F" w:rsidRDefault="00492810" w:rsidP="00443329">
      <w:pPr>
        <w:jc w:val="both"/>
        <w:rPr>
          <w:rFonts w:ascii="Century Gothic" w:hAnsi="Century Gothic"/>
          <w:color w:val="595959" w:themeColor="text1" w:themeTint="A6"/>
          <w:lang w:val="es-ES"/>
        </w:rPr>
      </w:pPr>
    </w:p>
    <w:p w14:paraId="143B2141" w14:textId="5F0562A5" w:rsidR="00492810" w:rsidRPr="00527E0F"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 xml:space="preserve">El Directorio de Empresas se encuentra alineado al objetivo siete del tercer eje definido en </w:t>
      </w:r>
      <w:r w:rsidR="00CF0C1E" w:rsidRPr="00527E0F">
        <w:rPr>
          <w:rFonts w:ascii="Century Gothic" w:hAnsi="Century Gothic"/>
          <w:color w:val="595959" w:themeColor="text1" w:themeTint="A6"/>
        </w:rPr>
        <w:t>el Plan</w:t>
      </w:r>
      <w:r w:rsidRPr="00527E0F">
        <w:rPr>
          <w:rFonts w:ascii="Century Gothic" w:hAnsi="Century Gothic"/>
          <w:color w:val="595959" w:themeColor="text1" w:themeTint="A6"/>
        </w:rPr>
        <w:t xml:space="preserve"> Nacional de Desarrollo vigente, no responde directamente a una de las políticas enunciadas en este Plan, por tal motivo</w:t>
      </w:r>
      <w:r w:rsidR="00621176">
        <w:rPr>
          <w:rFonts w:ascii="Century Gothic" w:hAnsi="Century Gothic"/>
          <w:color w:val="595959" w:themeColor="text1" w:themeTint="A6"/>
        </w:rPr>
        <w:t>,</w:t>
      </w:r>
      <w:r w:rsidRPr="00527E0F">
        <w:rPr>
          <w:rFonts w:ascii="Century Gothic" w:hAnsi="Century Gothic"/>
          <w:color w:val="595959" w:themeColor="text1" w:themeTint="A6"/>
        </w:rPr>
        <w:t xml:space="preserve"> no se especifican indicadores para este fin.</w:t>
      </w:r>
    </w:p>
    <w:p w14:paraId="3B77871E" w14:textId="77777777" w:rsidR="00492810" w:rsidRPr="00527E0F" w:rsidRDefault="00492810" w:rsidP="00CF0C1E">
      <w:pPr>
        <w:rPr>
          <w:rFonts w:ascii="Century Gothic" w:hAnsi="Century Gothic"/>
          <w:color w:val="595959" w:themeColor="text1" w:themeTint="A6"/>
        </w:rPr>
      </w:pPr>
    </w:p>
    <w:p w14:paraId="73874ED4" w14:textId="77777777" w:rsidR="00492810" w:rsidRPr="00527E0F" w:rsidRDefault="00492810" w:rsidP="00CF0C1E">
      <w:pPr>
        <w:rPr>
          <w:rFonts w:ascii="Century Gothic" w:hAnsi="Century Gothic"/>
          <w:color w:val="595959" w:themeColor="text1" w:themeTint="A6"/>
        </w:rPr>
      </w:pPr>
    </w:p>
    <w:p w14:paraId="28E81F6A" w14:textId="4F11F96A" w:rsidR="00492810" w:rsidRPr="00443329" w:rsidRDefault="00492810" w:rsidP="00492810">
      <w:pPr>
        <w:pStyle w:val="Descripcin"/>
        <w:keepNext/>
        <w:rPr>
          <w:rFonts w:ascii="Century Gothic" w:hAnsi="Century Gothic"/>
          <w:color w:val="595959" w:themeColor="text1" w:themeTint="A6"/>
          <w:sz w:val="24"/>
        </w:rPr>
      </w:pPr>
      <w:bookmarkStart w:id="18" w:name="_Toc117591177"/>
      <w:r w:rsidRPr="00443329">
        <w:rPr>
          <w:rFonts w:ascii="Century Gothic" w:hAnsi="Century Gothic"/>
          <w:color w:val="595959" w:themeColor="text1" w:themeTint="A6"/>
          <w:sz w:val="24"/>
        </w:rPr>
        <w:t xml:space="preserve">Tabla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1</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w:t>
      </w:r>
      <w:r w:rsidRPr="00443329">
        <w:rPr>
          <w:rFonts w:ascii="Century Gothic" w:hAnsi="Century Gothic"/>
          <w:sz w:val="24"/>
        </w:rPr>
        <w:t xml:space="preserve"> </w:t>
      </w:r>
      <w:r w:rsidRPr="00443329">
        <w:rPr>
          <w:rFonts w:ascii="Century Gothic" w:hAnsi="Century Gothic"/>
          <w:b w:val="0"/>
          <w:color w:val="595959" w:themeColor="text1" w:themeTint="A6"/>
          <w:sz w:val="24"/>
        </w:rPr>
        <w:t>Contribución de las Estadísticas al Plan Nacional de Desarrollo 2017 – 2021.</w:t>
      </w:r>
      <w:bookmarkEnd w:id="18"/>
    </w:p>
    <w:tbl>
      <w:tblPr>
        <w:tblStyle w:val="Tablaconcuadrcula"/>
        <w:tblW w:w="0" w:type="auto"/>
        <w:jc w:val="center"/>
        <w:tblLook w:val="04A0" w:firstRow="1" w:lastRow="0" w:firstColumn="1" w:lastColumn="0" w:noHBand="0" w:noVBand="1"/>
      </w:tblPr>
      <w:tblGrid>
        <w:gridCol w:w="1578"/>
        <w:gridCol w:w="1221"/>
        <w:gridCol w:w="1701"/>
        <w:gridCol w:w="1994"/>
        <w:gridCol w:w="1994"/>
      </w:tblGrid>
      <w:tr w:rsidR="00CF0C1E" w:rsidRPr="00CF0C1E" w14:paraId="2E197917" w14:textId="77777777" w:rsidTr="000D21DB">
        <w:trPr>
          <w:trHeight w:val="478"/>
          <w:tblHeader/>
          <w:jc w:val="center"/>
        </w:trPr>
        <w:tc>
          <w:tcPr>
            <w:tcW w:w="1555" w:type="dxa"/>
            <w:vMerge w:val="restart"/>
            <w:shd w:val="clear" w:color="auto" w:fill="1F3864" w:themeFill="accent1" w:themeFillShade="80"/>
            <w:vAlign w:val="center"/>
          </w:tcPr>
          <w:p w14:paraId="6C09FDD9" w14:textId="77777777"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Número/Literal</w:t>
            </w:r>
          </w:p>
        </w:tc>
        <w:tc>
          <w:tcPr>
            <w:tcW w:w="7273" w:type="dxa"/>
            <w:gridSpan w:val="4"/>
            <w:shd w:val="clear" w:color="auto" w:fill="1F3864" w:themeFill="accent1" w:themeFillShade="80"/>
            <w:vAlign w:val="center"/>
          </w:tcPr>
          <w:p w14:paraId="565C4D97" w14:textId="77777777"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Contribución de las Estadísticas al Plan Nacional de Desarrollo</w:t>
            </w:r>
          </w:p>
        </w:tc>
      </w:tr>
      <w:tr w:rsidR="00CF0C1E" w:rsidRPr="00CF0C1E" w14:paraId="317E4EA8" w14:textId="77777777" w:rsidTr="000D21DB">
        <w:trPr>
          <w:trHeight w:val="1295"/>
          <w:tblHeader/>
          <w:jc w:val="center"/>
        </w:trPr>
        <w:tc>
          <w:tcPr>
            <w:tcW w:w="1555" w:type="dxa"/>
            <w:vMerge/>
            <w:shd w:val="clear" w:color="auto" w:fill="1F3864" w:themeFill="accent1" w:themeFillShade="80"/>
            <w:vAlign w:val="center"/>
          </w:tcPr>
          <w:p w14:paraId="22473C07" w14:textId="77777777" w:rsidR="00492810" w:rsidRPr="00443329" w:rsidRDefault="00492810" w:rsidP="000D21DB">
            <w:pPr>
              <w:jc w:val="center"/>
              <w:rPr>
                <w:rFonts w:ascii="Century Gothic" w:hAnsi="Century Gothic"/>
                <w:b/>
                <w:color w:val="FFFFFF" w:themeColor="background1"/>
              </w:rPr>
            </w:pPr>
          </w:p>
        </w:tc>
        <w:tc>
          <w:tcPr>
            <w:tcW w:w="1559" w:type="dxa"/>
            <w:shd w:val="clear" w:color="auto" w:fill="1F3864" w:themeFill="accent1" w:themeFillShade="80"/>
            <w:vAlign w:val="center"/>
          </w:tcPr>
          <w:p w14:paraId="6DA19A0E" w14:textId="71F59BD5"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Eje del Plan Nacional de Desarrollo</w:t>
            </w:r>
          </w:p>
        </w:tc>
        <w:tc>
          <w:tcPr>
            <w:tcW w:w="1701" w:type="dxa"/>
            <w:shd w:val="clear" w:color="auto" w:fill="1F3864" w:themeFill="accent1" w:themeFillShade="80"/>
            <w:vAlign w:val="center"/>
          </w:tcPr>
          <w:p w14:paraId="6B9FFFBF" w14:textId="77777777"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Objetivo del eje</w:t>
            </w:r>
          </w:p>
        </w:tc>
        <w:tc>
          <w:tcPr>
            <w:tcW w:w="1984" w:type="dxa"/>
            <w:shd w:val="clear" w:color="auto" w:fill="1F3864" w:themeFill="accent1" w:themeFillShade="80"/>
            <w:vAlign w:val="center"/>
          </w:tcPr>
          <w:p w14:paraId="74233B8B" w14:textId="77777777"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Políticas y lineamientos estratégicos establecidos en el PND</w:t>
            </w:r>
          </w:p>
        </w:tc>
        <w:tc>
          <w:tcPr>
            <w:tcW w:w="2029" w:type="dxa"/>
            <w:shd w:val="clear" w:color="auto" w:fill="1F3864" w:themeFill="accent1" w:themeFillShade="80"/>
            <w:vAlign w:val="center"/>
          </w:tcPr>
          <w:p w14:paraId="06B038C3" w14:textId="77777777" w:rsidR="00492810" w:rsidRPr="00443329" w:rsidRDefault="00492810" w:rsidP="000D21DB">
            <w:pPr>
              <w:jc w:val="center"/>
              <w:rPr>
                <w:rFonts w:ascii="Century Gothic" w:hAnsi="Century Gothic"/>
                <w:b/>
                <w:color w:val="FFFFFF" w:themeColor="background1"/>
              </w:rPr>
            </w:pPr>
            <w:r w:rsidRPr="00443329">
              <w:rPr>
                <w:rFonts w:ascii="Century Gothic" w:hAnsi="Century Gothic"/>
                <w:b/>
                <w:color w:val="FFFFFF" w:themeColor="background1"/>
                <w:sz w:val="24"/>
              </w:rPr>
              <w:t>Indicador  meta</w:t>
            </w:r>
          </w:p>
        </w:tc>
      </w:tr>
      <w:tr w:rsidR="00CF0C1E" w:rsidRPr="00CF0C1E" w14:paraId="23EFA352" w14:textId="77777777" w:rsidTr="00492810">
        <w:trPr>
          <w:jc w:val="center"/>
        </w:trPr>
        <w:tc>
          <w:tcPr>
            <w:tcW w:w="1555" w:type="dxa"/>
          </w:tcPr>
          <w:p w14:paraId="559C5740" w14:textId="77777777" w:rsidR="00492810" w:rsidRPr="00443329" w:rsidRDefault="00492810" w:rsidP="00492810">
            <w:pPr>
              <w:jc w:val="center"/>
              <w:rPr>
                <w:rFonts w:ascii="Century Gothic" w:hAnsi="Century Gothic"/>
                <w:color w:val="595959" w:themeColor="text1" w:themeTint="A6"/>
              </w:rPr>
            </w:pPr>
          </w:p>
          <w:p w14:paraId="69CC1261"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sz w:val="24"/>
              </w:rPr>
              <w:t>2</w:t>
            </w:r>
          </w:p>
        </w:tc>
        <w:tc>
          <w:tcPr>
            <w:tcW w:w="1559" w:type="dxa"/>
          </w:tcPr>
          <w:p w14:paraId="54EA152A"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333AC4C0"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Economía al servicio de la sociedad</w:t>
            </w:r>
          </w:p>
        </w:tc>
        <w:tc>
          <w:tcPr>
            <w:tcW w:w="1701" w:type="dxa"/>
          </w:tcPr>
          <w:p w14:paraId="709AC114"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7BEE1978"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5. Impulsar la productividad y competitividad para el crecimiento económico sostenible de manera redistributiva y solidaria.</w:t>
            </w:r>
          </w:p>
        </w:tc>
        <w:tc>
          <w:tcPr>
            <w:tcW w:w="1984" w:type="dxa"/>
          </w:tcPr>
          <w:p w14:paraId="7853FE83"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4957D369"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5.2 Impulsar la productividad y competitividad para el crecimiento económico sostenible de manera redistributiva y solidaria.</w:t>
            </w:r>
          </w:p>
          <w:p w14:paraId="49564BAB"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0EA1C7E0"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5.3 Fomentar el desarrollo industrial nacional mejorando los encadenamientos productivos con participación de todos los actores de la economía.</w:t>
            </w:r>
          </w:p>
          <w:p w14:paraId="6F7D8D4D"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3EA2B444"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5.10 Fomentar el desarrollo industrial nacional mejorando los encadenamientos productivos con participación de todos los actores de la economía.</w:t>
            </w:r>
          </w:p>
        </w:tc>
        <w:tc>
          <w:tcPr>
            <w:tcW w:w="2029" w:type="dxa"/>
          </w:tcPr>
          <w:p w14:paraId="02EA60C2"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748EB3F6"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Fomentar el desarrollo industrial nacional mejorando los encadenamientos productivos con participación de todos los actores de la economía.</w:t>
            </w:r>
          </w:p>
          <w:p w14:paraId="219ADB22"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4CD56E02"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Incrementar la tasa de empleo adecuado del 41,2% al 47,9% a 2021.</w:t>
            </w:r>
          </w:p>
          <w:p w14:paraId="32EA2795"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5BFD4556" w14:textId="7929E2F9"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 xml:space="preserve">Aumentar el </w:t>
            </w:r>
            <w:r w:rsidR="00CF0C1E" w:rsidRPr="00CF0C1E">
              <w:rPr>
                <w:rFonts w:ascii="Century Gothic" w:hAnsi="Century Gothic"/>
                <w:color w:val="595959" w:themeColor="text1" w:themeTint="A6"/>
              </w:rPr>
              <w:t>valor de</w:t>
            </w:r>
            <w:r w:rsidRPr="00443329">
              <w:rPr>
                <w:rFonts w:ascii="Century Gothic" w:hAnsi="Century Gothic"/>
                <w:color w:val="595959" w:themeColor="text1" w:themeTint="A6"/>
                <w:sz w:val="24"/>
              </w:rPr>
              <w:t xml:space="preserve"> las exportaciones no tradicionales de US$ 295 a US$ 375 per cápita a 2021.</w:t>
            </w:r>
          </w:p>
          <w:p w14:paraId="1E59D5A7"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p>
          <w:p w14:paraId="7766203C" w14:textId="77777777" w:rsidR="00492810" w:rsidRPr="00443329" w:rsidRDefault="00492810" w:rsidP="00492810">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spacing w:line="259" w:lineRule="auto"/>
              <w:ind w:right="89"/>
              <w:rPr>
                <w:rFonts w:ascii="Century Gothic" w:hAnsi="Century Gothic"/>
                <w:color w:val="595959" w:themeColor="text1" w:themeTint="A6"/>
              </w:rPr>
            </w:pPr>
            <w:r w:rsidRPr="00443329">
              <w:rPr>
                <w:rFonts w:ascii="Century Gothic" w:hAnsi="Century Gothic"/>
                <w:color w:val="595959" w:themeColor="text1" w:themeTint="A6"/>
                <w:sz w:val="24"/>
              </w:rPr>
              <w:t>Incrementar los ingresos por autogestión de las empresas públicas de la función Ejecutiva de 75,8% a 77,6% a 2021.</w:t>
            </w:r>
          </w:p>
        </w:tc>
      </w:tr>
    </w:tbl>
    <w:p w14:paraId="3B594EA4" w14:textId="2EA4C375" w:rsidR="00492810" w:rsidRDefault="00492810" w:rsidP="00492810">
      <w:pPr>
        <w:rPr>
          <w:rFonts w:ascii="Century Gothic" w:hAnsi="Century Gothic"/>
          <w:color w:val="595959" w:themeColor="text1" w:themeTint="A6"/>
        </w:rPr>
      </w:pPr>
    </w:p>
    <w:p w14:paraId="6C2AB8DA" w14:textId="77777777" w:rsidR="00492810" w:rsidRPr="00527E0F" w:rsidRDefault="00492810" w:rsidP="00492810">
      <w:pPr>
        <w:rPr>
          <w:rFonts w:ascii="Century Gothic" w:hAnsi="Century Gothic"/>
          <w:lang w:eastAsia="es-EC"/>
        </w:rPr>
      </w:pPr>
      <w:r w:rsidRPr="00527E0F">
        <w:rPr>
          <w:rFonts w:ascii="Century Gothic" w:hAnsi="Century Gothic"/>
          <w:color w:val="595959" w:themeColor="text1" w:themeTint="A6"/>
        </w:rPr>
        <w:t>El DIEE cuenta con información para el análisis de las metas señaladas.</w:t>
      </w:r>
    </w:p>
    <w:p w14:paraId="3E0263C7" w14:textId="77777777" w:rsidR="00492810" w:rsidRPr="00443329" w:rsidRDefault="00492810" w:rsidP="00443329">
      <w:pPr>
        <w:pStyle w:val="Descripcin"/>
        <w:keepNext/>
        <w:rPr>
          <w:rFonts w:ascii="Century Gothic" w:hAnsi="Century Gothic"/>
          <w:color w:val="595959" w:themeColor="text1" w:themeTint="A6"/>
        </w:rPr>
      </w:pPr>
    </w:p>
    <w:p w14:paraId="7CBAA860" w14:textId="4F3C1CA9" w:rsidR="00492810" w:rsidRPr="00443329" w:rsidRDefault="00492810" w:rsidP="00492810">
      <w:pPr>
        <w:pStyle w:val="Descripcin"/>
        <w:keepNext/>
        <w:rPr>
          <w:rFonts w:ascii="Century Gothic" w:hAnsi="Century Gothic"/>
          <w:color w:val="595959" w:themeColor="text1" w:themeTint="A6"/>
          <w:sz w:val="24"/>
        </w:rPr>
      </w:pPr>
      <w:bookmarkStart w:id="19" w:name="_Toc117591178"/>
      <w:r w:rsidRPr="00443329">
        <w:rPr>
          <w:rFonts w:ascii="Century Gothic" w:hAnsi="Century Gothic"/>
          <w:color w:val="595959" w:themeColor="text1" w:themeTint="A6"/>
          <w:sz w:val="24"/>
        </w:rPr>
        <w:t xml:space="preserve">Tabla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2</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Indicadores de los Objetivos de Desarrollo Sostenible</w:t>
      </w:r>
      <w:bookmarkEnd w:id="19"/>
    </w:p>
    <w:tbl>
      <w:tblPr>
        <w:tblStyle w:val="Tablaconcuadrcula"/>
        <w:tblW w:w="0" w:type="auto"/>
        <w:tblLook w:val="04A0" w:firstRow="1" w:lastRow="0" w:firstColumn="1" w:lastColumn="0" w:noHBand="0" w:noVBand="1"/>
      </w:tblPr>
      <w:tblGrid>
        <w:gridCol w:w="2502"/>
        <w:gridCol w:w="3321"/>
        <w:gridCol w:w="2665"/>
      </w:tblGrid>
      <w:tr w:rsidR="00492810" w:rsidRPr="00CF0C1E" w14:paraId="166DB0EB" w14:textId="77777777" w:rsidTr="00443329">
        <w:trPr>
          <w:trHeight w:val="407"/>
        </w:trPr>
        <w:tc>
          <w:tcPr>
            <w:tcW w:w="8828" w:type="dxa"/>
            <w:gridSpan w:val="3"/>
            <w:shd w:val="clear" w:color="auto" w:fill="1F3864" w:themeFill="accent1" w:themeFillShade="80"/>
            <w:vAlign w:val="center"/>
          </w:tcPr>
          <w:p w14:paraId="1FDA57F9" w14:textId="77777777" w:rsidR="00492810" w:rsidRPr="00443329" w:rsidRDefault="00492810" w:rsidP="00492810">
            <w:pPr>
              <w:jc w:val="center"/>
              <w:rPr>
                <w:rFonts w:ascii="Century Gothic" w:hAnsi="Century Gothic"/>
                <w:b/>
                <w:color w:val="FFFFFF" w:themeColor="background1"/>
              </w:rPr>
            </w:pPr>
            <w:r w:rsidRPr="00443329">
              <w:rPr>
                <w:rFonts w:ascii="Century Gothic" w:hAnsi="Century Gothic"/>
                <w:b/>
                <w:color w:val="FFFFFF" w:themeColor="background1"/>
                <w:sz w:val="24"/>
              </w:rPr>
              <w:t>Indicadores de los Objetivos de Desarrollo Sostenible</w:t>
            </w:r>
          </w:p>
        </w:tc>
      </w:tr>
      <w:tr w:rsidR="00CF0C1E" w:rsidRPr="00CF0C1E" w14:paraId="7EEF2160" w14:textId="77777777" w:rsidTr="00492810">
        <w:trPr>
          <w:trHeight w:val="414"/>
        </w:trPr>
        <w:tc>
          <w:tcPr>
            <w:tcW w:w="2547" w:type="dxa"/>
            <w:shd w:val="clear" w:color="auto" w:fill="1F3864" w:themeFill="accent1" w:themeFillShade="80"/>
            <w:vAlign w:val="center"/>
          </w:tcPr>
          <w:p w14:paraId="0928E976" w14:textId="77777777" w:rsidR="00492810" w:rsidRPr="00443329" w:rsidRDefault="00492810" w:rsidP="00492810">
            <w:pPr>
              <w:jc w:val="center"/>
              <w:rPr>
                <w:rFonts w:ascii="Century Gothic" w:hAnsi="Century Gothic"/>
                <w:b/>
                <w:color w:val="FFFFFF" w:themeColor="background1"/>
              </w:rPr>
            </w:pPr>
            <w:r w:rsidRPr="00443329">
              <w:rPr>
                <w:rFonts w:ascii="Century Gothic" w:hAnsi="Century Gothic"/>
                <w:b/>
                <w:color w:val="FFFFFF" w:themeColor="background1"/>
                <w:sz w:val="24"/>
              </w:rPr>
              <w:t>Objetivo</w:t>
            </w:r>
          </w:p>
        </w:tc>
        <w:tc>
          <w:tcPr>
            <w:tcW w:w="3498" w:type="dxa"/>
            <w:shd w:val="clear" w:color="auto" w:fill="1F3864" w:themeFill="accent1" w:themeFillShade="80"/>
            <w:vAlign w:val="center"/>
          </w:tcPr>
          <w:p w14:paraId="01910F4A" w14:textId="77777777" w:rsidR="00492810" w:rsidRPr="00443329" w:rsidRDefault="00492810" w:rsidP="00492810">
            <w:pPr>
              <w:jc w:val="center"/>
              <w:rPr>
                <w:rFonts w:ascii="Century Gothic" w:hAnsi="Century Gothic"/>
                <w:b/>
                <w:color w:val="FFFFFF" w:themeColor="background1"/>
              </w:rPr>
            </w:pPr>
            <w:r w:rsidRPr="00443329">
              <w:rPr>
                <w:rFonts w:ascii="Century Gothic" w:hAnsi="Century Gothic"/>
                <w:b/>
                <w:color w:val="FFFFFF" w:themeColor="background1"/>
                <w:sz w:val="24"/>
              </w:rPr>
              <w:t>Meta</w:t>
            </w:r>
          </w:p>
        </w:tc>
        <w:tc>
          <w:tcPr>
            <w:tcW w:w="2783" w:type="dxa"/>
            <w:shd w:val="clear" w:color="auto" w:fill="1F3864" w:themeFill="accent1" w:themeFillShade="80"/>
            <w:vAlign w:val="center"/>
          </w:tcPr>
          <w:p w14:paraId="35043EEF" w14:textId="77777777" w:rsidR="00492810" w:rsidRPr="00443329" w:rsidRDefault="00492810" w:rsidP="00492810">
            <w:pPr>
              <w:jc w:val="center"/>
              <w:rPr>
                <w:rFonts w:ascii="Century Gothic" w:hAnsi="Century Gothic"/>
                <w:b/>
                <w:color w:val="FFFFFF" w:themeColor="background1"/>
              </w:rPr>
            </w:pPr>
            <w:r w:rsidRPr="00443329">
              <w:rPr>
                <w:rFonts w:ascii="Century Gothic" w:hAnsi="Century Gothic"/>
                <w:b/>
                <w:color w:val="FFFFFF" w:themeColor="background1"/>
                <w:sz w:val="24"/>
              </w:rPr>
              <w:t>Indicador</w:t>
            </w:r>
          </w:p>
        </w:tc>
      </w:tr>
      <w:tr w:rsidR="00492810" w:rsidRPr="00CF0C1E" w14:paraId="433A39AA" w14:textId="77777777" w:rsidTr="00443329">
        <w:tc>
          <w:tcPr>
            <w:tcW w:w="2547" w:type="dxa"/>
          </w:tcPr>
          <w:p w14:paraId="36E06151" w14:textId="77777777" w:rsidR="00492810" w:rsidRPr="00443329" w:rsidRDefault="00492810" w:rsidP="00492810">
            <w:pPr>
              <w:rPr>
                <w:rFonts w:ascii="Century Gothic" w:hAnsi="Century Gothic"/>
                <w:color w:val="595959" w:themeColor="text1" w:themeTint="A6"/>
              </w:rPr>
            </w:pPr>
          </w:p>
          <w:p w14:paraId="59021ED7" w14:textId="77777777" w:rsidR="00492810" w:rsidRPr="00443329" w:rsidRDefault="00492810" w:rsidP="00492810">
            <w:pPr>
              <w:rPr>
                <w:rFonts w:ascii="Century Gothic" w:hAnsi="Century Gothic"/>
                <w:color w:val="595959" w:themeColor="text1" w:themeTint="A6"/>
              </w:rPr>
            </w:pPr>
            <w:r w:rsidRPr="00443329">
              <w:rPr>
                <w:rFonts w:ascii="Century Gothic" w:hAnsi="Century Gothic"/>
                <w:color w:val="595959" w:themeColor="text1" w:themeTint="A6"/>
                <w:sz w:val="24"/>
              </w:rPr>
              <w:t>Objetivo 9: Construir infraestructuras resilientes, promover la industrialización inclusiva y sostenible y fomentar la innovación.</w:t>
            </w:r>
          </w:p>
        </w:tc>
        <w:tc>
          <w:tcPr>
            <w:tcW w:w="3498" w:type="dxa"/>
          </w:tcPr>
          <w:p w14:paraId="416603B5" w14:textId="77777777" w:rsidR="00492810" w:rsidRPr="00443329" w:rsidRDefault="00492810" w:rsidP="00492810">
            <w:pPr>
              <w:rPr>
                <w:rFonts w:ascii="Century Gothic" w:hAnsi="Century Gothic"/>
                <w:color w:val="595959" w:themeColor="text1" w:themeTint="A6"/>
              </w:rPr>
            </w:pPr>
          </w:p>
          <w:p w14:paraId="01A91C49" w14:textId="77777777" w:rsidR="00492810" w:rsidRPr="00443329" w:rsidRDefault="00492810" w:rsidP="00492810">
            <w:pPr>
              <w:rPr>
                <w:rFonts w:ascii="Century Gothic" w:hAnsi="Century Gothic"/>
                <w:color w:val="595959" w:themeColor="text1" w:themeTint="A6"/>
              </w:rPr>
            </w:pPr>
            <w:r w:rsidRPr="00443329">
              <w:rPr>
                <w:rFonts w:ascii="Century Gothic" w:hAnsi="Century Gothic"/>
                <w:color w:val="595959" w:themeColor="text1" w:themeTint="A6"/>
                <w:sz w:val="24"/>
              </w:rPr>
              <w:t>Meta 9.3: Aumentar el acceso de las pequeñas empresas industriales y otras empresas, en particular en los países en desarrollo, a los servicios financieros, incluido el acceso a créditos asequibles, y su integración en las cadenas de valor y los mercados.</w:t>
            </w:r>
          </w:p>
        </w:tc>
        <w:tc>
          <w:tcPr>
            <w:tcW w:w="2783" w:type="dxa"/>
          </w:tcPr>
          <w:p w14:paraId="4FAED4B7" w14:textId="77777777" w:rsidR="00492810" w:rsidRPr="00443329" w:rsidRDefault="00492810" w:rsidP="00492810">
            <w:pPr>
              <w:rPr>
                <w:rFonts w:ascii="Century Gothic" w:hAnsi="Century Gothic"/>
                <w:color w:val="595959" w:themeColor="text1" w:themeTint="A6"/>
              </w:rPr>
            </w:pPr>
          </w:p>
          <w:p w14:paraId="0123532B" w14:textId="334CA33C" w:rsidR="00492810" w:rsidRPr="00443329" w:rsidRDefault="00492810" w:rsidP="00492810">
            <w:pPr>
              <w:rPr>
                <w:rFonts w:ascii="Century Gothic" w:hAnsi="Century Gothic"/>
                <w:color w:val="595959" w:themeColor="text1" w:themeTint="A6"/>
              </w:rPr>
            </w:pPr>
            <w:r w:rsidRPr="00443329">
              <w:rPr>
                <w:rFonts w:ascii="Century Gothic" w:hAnsi="Century Gothic"/>
                <w:color w:val="595959" w:themeColor="text1" w:themeTint="A6"/>
                <w:sz w:val="24"/>
              </w:rPr>
              <w:t>Indicador 9.3.2: Proporción de las industrias a pequeña escala que han obtenido un préstamo o una línea de crédito</w:t>
            </w:r>
            <w:r w:rsidR="00256058">
              <w:rPr>
                <w:rFonts w:ascii="Century Gothic" w:hAnsi="Century Gothic"/>
                <w:color w:val="595959" w:themeColor="text1" w:themeTint="A6"/>
                <w:sz w:val="24"/>
              </w:rPr>
              <w:t>.</w:t>
            </w:r>
          </w:p>
        </w:tc>
      </w:tr>
    </w:tbl>
    <w:p w14:paraId="2BC30C92" w14:textId="01EB19E1" w:rsidR="00492810" w:rsidRPr="000D21DB" w:rsidRDefault="00492810" w:rsidP="00492810">
      <w:pPr>
        <w:pStyle w:val="SUBTITULOINEC"/>
        <w:rPr>
          <w:sz w:val="24"/>
          <w:szCs w:val="24"/>
          <w:lang w:eastAsia="es-EC"/>
        </w:rPr>
      </w:pPr>
      <w:bookmarkStart w:id="20" w:name="_Toc53757410"/>
    </w:p>
    <w:p w14:paraId="7C8FFF5B" w14:textId="77777777" w:rsidR="00E21D4E" w:rsidRPr="000D21DB" w:rsidRDefault="00E21D4E" w:rsidP="00492810">
      <w:pPr>
        <w:pStyle w:val="SUBTITULOINEC"/>
        <w:rPr>
          <w:sz w:val="24"/>
          <w:szCs w:val="24"/>
          <w:lang w:eastAsia="es-EC"/>
        </w:rPr>
      </w:pPr>
    </w:p>
    <w:p w14:paraId="74C60BDC" w14:textId="4E9166CE" w:rsidR="00492810" w:rsidRPr="00717BD2" w:rsidRDefault="00717BD2" w:rsidP="00717BD2">
      <w:pPr>
        <w:pStyle w:val="SUBTITULOINEC"/>
        <w:ind w:left="708"/>
        <w:jc w:val="left"/>
        <w:rPr>
          <w:sz w:val="32"/>
          <w:szCs w:val="32"/>
          <w:lang w:eastAsia="es-EC"/>
        </w:rPr>
      </w:pPr>
      <w:r>
        <w:rPr>
          <w:sz w:val="32"/>
          <w:szCs w:val="32"/>
          <w:lang w:eastAsia="es-EC"/>
        </w:rPr>
        <w:t xml:space="preserve">1.1.1 </w:t>
      </w:r>
      <w:r w:rsidR="00492810" w:rsidRPr="00717BD2">
        <w:rPr>
          <w:sz w:val="32"/>
          <w:szCs w:val="32"/>
          <w:lang w:eastAsia="es-EC"/>
        </w:rPr>
        <w:t>Usuarios de información</w:t>
      </w:r>
      <w:bookmarkEnd w:id="20"/>
      <w:r w:rsidR="00492810" w:rsidRPr="00717BD2">
        <w:rPr>
          <w:sz w:val="32"/>
          <w:szCs w:val="32"/>
          <w:lang w:eastAsia="es-EC"/>
        </w:rPr>
        <w:t xml:space="preserve"> </w:t>
      </w:r>
    </w:p>
    <w:p w14:paraId="6CC1FA6B" w14:textId="77777777" w:rsidR="00492810" w:rsidRPr="00443329" w:rsidRDefault="00492810" w:rsidP="00492810">
      <w:pPr>
        <w:pStyle w:val="Prrafodelista"/>
        <w:spacing w:after="0" w:line="240" w:lineRule="auto"/>
        <w:ind w:left="851" w:hanging="567"/>
        <w:rPr>
          <w:rFonts w:ascii="Century Gothic" w:hAnsi="Century Gothic"/>
          <w:color w:val="595959" w:themeColor="text1" w:themeTint="A6"/>
          <w:sz w:val="24"/>
          <w:highlight w:val="yellow"/>
        </w:rPr>
      </w:pPr>
    </w:p>
    <w:p w14:paraId="68B0D2AE" w14:textId="2BB8735F" w:rsidR="00E21D4E" w:rsidRPr="00527E0F" w:rsidRDefault="00492810" w:rsidP="00E21D4E">
      <w:pPr>
        <w:jc w:val="both"/>
        <w:rPr>
          <w:rFonts w:ascii="Century Gothic" w:hAnsi="Century Gothic"/>
          <w:color w:val="595959" w:themeColor="text1" w:themeTint="A6"/>
        </w:rPr>
      </w:pPr>
      <w:r w:rsidRPr="00527E0F">
        <w:rPr>
          <w:rFonts w:ascii="Century Gothic" w:hAnsi="Century Gothic"/>
          <w:color w:val="595959" w:themeColor="text1" w:themeTint="A6"/>
          <w:lang w:eastAsia="es-EC"/>
        </w:rPr>
        <w:t xml:space="preserve">El Directorio de Empresas y Establecimientos es un producto estadístico para uso interno y externo del INEC. </w:t>
      </w:r>
    </w:p>
    <w:p w14:paraId="7E54AE26" w14:textId="42771D2D" w:rsidR="00492810"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En la tabla 3 se detalla los usuarios actuales, necesidades y usos que da</w:t>
      </w:r>
      <w:r w:rsidR="00E21D4E">
        <w:rPr>
          <w:rFonts w:ascii="Century Gothic" w:hAnsi="Century Gothic"/>
          <w:color w:val="595959" w:themeColor="text1" w:themeTint="A6"/>
          <w:lang w:eastAsia="es-EC"/>
        </w:rPr>
        <w:t>n</w:t>
      </w:r>
      <w:r w:rsidRPr="00527E0F">
        <w:rPr>
          <w:rFonts w:ascii="Century Gothic" w:hAnsi="Century Gothic"/>
          <w:color w:val="595959" w:themeColor="text1" w:themeTint="A6"/>
          <w:lang w:eastAsia="es-EC"/>
        </w:rPr>
        <w:t xml:space="preserve"> a la información:</w:t>
      </w:r>
    </w:p>
    <w:p w14:paraId="11A9E517" w14:textId="77777777" w:rsidR="00492810" w:rsidRPr="00527E0F" w:rsidRDefault="00492810" w:rsidP="00492810">
      <w:pPr>
        <w:rPr>
          <w:rFonts w:ascii="Century Gothic" w:hAnsi="Century Gothic"/>
          <w:color w:val="595959" w:themeColor="text1" w:themeTint="A6"/>
          <w:lang w:eastAsia="es-EC"/>
        </w:rPr>
      </w:pPr>
    </w:p>
    <w:p w14:paraId="3DC64B71" w14:textId="346682D8" w:rsidR="00492810" w:rsidRPr="00443329" w:rsidRDefault="00492810" w:rsidP="00CF0C1E">
      <w:pPr>
        <w:pStyle w:val="Descripcin"/>
        <w:spacing w:after="0" w:line="276" w:lineRule="auto"/>
        <w:rPr>
          <w:rFonts w:ascii="Century Gothic" w:hAnsi="Century Gothic"/>
          <w:color w:val="595959" w:themeColor="text1" w:themeTint="A6"/>
          <w:sz w:val="24"/>
        </w:rPr>
      </w:pPr>
      <w:bookmarkStart w:id="21" w:name="_Toc117591179"/>
      <w:r w:rsidRPr="00443329">
        <w:rPr>
          <w:rFonts w:ascii="Century Gothic" w:hAnsi="Century Gothic"/>
          <w:color w:val="595959" w:themeColor="text1" w:themeTint="A6"/>
          <w:sz w:val="24"/>
        </w:rPr>
        <w:t xml:space="preserve">Tabla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3</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Principales usuarios y necesidades de la información del Directorio de Empresas y Establecimientos</w:t>
      </w:r>
      <w:bookmarkEnd w:id="21"/>
    </w:p>
    <w:tbl>
      <w:tblPr>
        <w:tblW w:w="91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8"/>
        <w:gridCol w:w="2693"/>
        <w:gridCol w:w="5061"/>
      </w:tblGrid>
      <w:tr w:rsidR="00CF0C1E" w:rsidRPr="00527E0F" w14:paraId="29D3E561" w14:textId="77777777" w:rsidTr="000D21DB">
        <w:trPr>
          <w:trHeight w:val="357"/>
          <w:tblHeader/>
        </w:trPr>
        <w:tc>
          <w:tcPr>
            <w:tcW w:w="1358" w:type="dxa"/>
            <w:shd w:val="clear" w:color="auto" w:fill="1F3864" w:themeFill="accent1" w:themeFillShade="80"/>
            <w:vAlign w:val="center"/>
          </w:tcPr>
          <w:p w14:paraId="7B490EB4" w14:textId="77777777" w:rsidR="00492810" w:rsidRPr="00443329" w:rsidRDefault="00492810" w:rsidP="00CF0C1E">
            <w:pPr>
              <w:jc w:val="center"/>
              <w:rPr>
                <w:rFonts w:ascii="Century Gothic" w:hAnsi="Century Gothic"/>
                <w:b/>
                <w:color w:val="FFFFFF" w:themeColor="background1"/>
              </w:rPr>
            </w:pPr>
            <w:r w:rsidRPr="00443329">
              <w:rPr>
                <w:rFonts w:ascii="Century Gothic" w:hAnsi="Century Gothic"/>
                <w:b/>
                <w:color w:val="FFFFFF" w:themeColor="background1"/>
              </w:rPr>
              <w:t>Tipo de usuario</w:t>
            </w:r>
          </w:p>
        </w:tc>
        <w:tc>
          <w:tcPr>
            <w:tcW w:w="2693" w:type="dxa"/>
            <w:shd w:val="clear" w:color="auto" w:fill="1F3864" w:themeFill="accent1" w:themeFillShade="80"/>
            <w:vAlign w:val="center"/>
            <w:hideMark/>
          </w:tcPr>
          <w:p w14:paraId="3CC61BBB"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Usuario</w:t>
            </w:r>
          </w:p>
        </w:tc>
        <w:tc>
          <w:tcPr>
            <w:tcW w:w="5061" w:type="dxa"/>
            <w:shd w:val="clear" w:color="auto" w:fill="1F3864" w:themeFill="accent1" w:themeFillShade="80"/>
            <w:vAlign w:val="center"/>
            <w:hideMark/>
          </w:tcPr>
          <w:p w14:paraId="1722B704"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Necesidades y usos de la información</w:t>
            </w:r>
          </w:p>
        </w:tc>
      </w:tr>
      <w:tr w:rsidR="00CF0C1E" w:rsidRPr="00527E0F" w14:paraId="6D55EA04" w14:textId="77777777" w:rsidTr="003D53BE">
        <w:trPr>
          <w:trHeight w:val="698"/>
        </w:trPr>
        <w:tc>
          <w:tcPr>
            <w:tcW w:w="1358" w:type="dxa"/>
            <w:vMerge w:val="restart"/>
            <w:shd w:val="clear" w:color="000000" w:fill="FFFFFF"/>
            <w:vAlign w:val="center"/>
          </w:tcPr>
          <w:p w14:paraId="4113744F" w14:textId="77777777" w:rsidR="00492810" w:rsidRPr="00443329" w:rsidRDefault="00492810" w:rsidP="003D53BE">
            <w:pPr>
              <w:jc w:val="center"/>
              <w:rPr>
                <w:rFonts w:ascii="Century Gothic" w:hAnsi="Century Gothic"/>
                <w:color w:val="595959" w:themeColor="text1" w:themeTint="A6"/>
              </w:rPr>
            </w:pPr>
            <w:r w:rsidRPr="00443329">
              <w:rPr>
                <w:rFonts w:ascii="Century Gothic" w:hAnsi="Century Gothic"/>
                <w:color w:val="595959" w:themeColor="text1" w:themeTint="A6"/>
              </w:rPr>
              <w:t>Externo</w:t>
            </w:r>
          </w:p>
        </w:tc>
        <w:tc>
          <w:tcPr>
            <w:tcW w:w="2693" w:type="dxa"/>
            <w:shd w:val="clear" w:color="000000" w:fill="FFFFFF"/>
            <w:noWrap/>
            <w:vAlign w:val="center"/>
          </w:tcPr>
          <w:p w14:paraId="2261CBC6"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Banco Central del Ecuador</w:t>
            </w:r>
          </w:p>
        </w:tc>
        <w:tc>
          <w:tcPr>
            <w:tcW w:w="5061" w:type="dxa"/>
            <w:shd w:val="clear" w:color="000000" w:fill="FFFFFF"/>
            <w:vAlign w:val="center"/>
          </w:tcPr>
          <w:p w14:paraId="1CD332F0" w14:textId="3BCD6A4E"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Información actualizada para la elaboración de cuentas nacionales del país</w:t>
            </w:r>
            <w:r w:rsidR="00256058">
              <w:rPr>
                <w:rFonts w:ascii="Century Gothic" w:hAnsi="Century Gothic"/>
                <w:color w:val="595959" w:themeColor="text1" w:themeTint="A6"/>
              </w:rPr>
              <w:t>.</w:t>
            </w:r>
          </w:p>
        </w:tc>
      </w:tr>
      <w:tr w:rsidR="00CF0C1E" w:rsidRPr="00527E0F" w14:paraId="158D818B" w14:textId="77777777" w:rsidTr="003D53BE">
        <w:trPr>
          <w:trHeight w:val="701"/>
        </w:trPr>
        <w:tc>
          <w:tcPr>
            <w:tcW w:w="1358" w:type="dxa"/>
            <w:vMerge/>
            <w:shd w:val="clear" w:color="000000" w:fill="FFFFFF"/>
            <w:vAlign w:val="center"/>
          </w:tcPr>
          <w:p w14:paraId="13FF8A93"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4D73EB44"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Corporación Nacional de Telecomunicaciones</w:t>
            </w:r>
          </w:p>
        </w:tc>
        <w:tc>
          <w:tcPr>
            <w:tcW w:w="5061" w:type="dxa"/>
            <w:shd w:val="clear" w:color="000000" w:fill="FFFFFF"/>
            <w:vAlign w:val="center"/>
          </w:tcPr>
          <w:p w14:paraId="73155C94"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Investigación del sector corporativo del país, de manera que orienten sus servicios de manera focalizada.</w:t>
            </w:r>
          </w:p>
        </w:tc>
      </w:tr>
      <w:tr w:rsidR="00CF0C1E" w:rsidRPr="00527E0F" w14:paraId="3F5BD814" w14:textId="77777777" w:rsidTr="003D53BE">
        <w:trPr>
          <w:trHeight w:val="701"/>
        </w:trPr>
        <w:tc>
          <w:tcPr>
            <w:tcW w:w="1358" w:type="dxa"/>
            <w:vMerge/>
            <w:shd w:val="clear" w:color="000000" w:fill="FFFFFF"/>
            <w:vAlign w:val="center"/>
          </w:tcPr>
          <w:p w14:paraId="70AF7B00"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170E901C"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 xml:space="preserve">Ministerio de Producción, Comercio Exterior, Inversiones y Pesca </w:t>
            </w:r>
          </w:p>
        </w:tc>
        <w:tc>
          <w:tcPr>
            <w:tcW w:w="5061" w:type="dxa"/>
            <w:shd w:val="clear" w:color="000000" w:fill="FFFFFF"/>
            <w:vAlign w:val="center"/>
          </w:tcPr>
          <w:p w14:paraId="24BB453C"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Fuente de actualización constante de información estadística para análisis e investigación.</w:t>
            </w:r>
          </w:p>
        </w:tc>
      </w:tr>
      <w:tr w:rsidR="00CF0C1E" w:rsidRPr="00527E0F" w14:paraId="49FCE44C" w14:textId="77777777" w:rsidTr="003D53BE">
        <w:trPr>
          <w:trHeight w:val="701"/>
        </w:trPr>
        <w:tc>
          <w:tcPr>
            <w:tcW w:w="1358" w:type="dxa"/>
            <w:vMerge/>
            <w:shd w:val="clear" w:color="000000" w:fill="FFFFFF"/>
            <w:vAlign w:val="center"/>
          </w:tcPr>
          <w:p w14:paraId="417D4378"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7D922204"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Servicio de Rentas Internas</w:t>
            </w:r>
          </w:p>
        </w:tc>
        <w:tc>
          <w:tcPr>
            <w:tcW w:w="5061" w:type="dxa"/>
            <w:shd w:val="clear" w:color="000000" w:fill="FFFFFF"/>
            <w:vAlign w:val="center"/>
          </w:tcPr>
          <w:p w14:paraId="6A2FE1F8" w14:textId="56848013"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Validación que genera el Centro de Estudios Fiscales sobre las actividades económicas del catastro de RUC, con el fin de mejorar resultados</w:t>
            </w:r>
            <w:r w:rsidR="00256058">
              <w:rPr>
                <w:rFonts w:ascii="Century Gothic" w:hAnsi="Century Gothic"/>
                <w:color w:val="595959" w:themeColor="text1" w:themeTint="A6"/>
              </w:rPr>
              <w:t>.</w:t>
            </w:r>
          </w:p>
        </w:tc>
      </w:tr>
      <w:tr w:rsidR="00CF0C1E" w:rsidRPr="00527E0F" w14:paraId="6F3B10FB" w14:textId="77777777" w:rsidTr="003D53BE">
        <w:trPr>
          <w:trHeight w:val="701"/>
        </w:trPr>
        <w:tc>
          <w:tcPr>
            <w:tcW w:w="1358" w:type="dxa"/>
            <w:vMerge/>
            <w:shd w:val="clear" w:color="000000" w:fill="FFFFFF"/>
            <w:vAlign w:val="center"/>
          </w:tcPr>
          <w:p w14:paraId="05CF2575"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76DCB7EB"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Instituto Geográfico Militar</w:t>
            </w:r>
          </w:p>
        </w:tc>
        <w:tc>
          <w:tcPr>
            <w:tcW w:w="5061" w:type="dxa"/>
            <w:shd w:val="clear" w:color="000000" w:fill="FFFFFF"/>
            <w:vAlign w:val="center"/>
          </w:tcPr>
          <w:p w14:paraId="0C8897FA" w14:textId="65D9F898"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Determinar zonas de importancia económica del país, lo cual será mapeado mediante Modelos Geográficos</w:t>
            </w:r>
            <w:r w:rsidR="00256058">
              <w:rPr>
                <w:rFonts w:ascii="Century Gothic" w:hAnsi="Century Gothic"/>
                <w:color w:val="595959" w:themeColor="text1" w:themeTint="A6"/>
              </w:rPr>
              <w:t>.</w:t>
            </w:r>
          </w:p>
        </w:tc>
      </w:tr>
      <w:tr w:rsidR="00CF0C1E" w:rsidRPr="00527E0F" w14:paraId="04B54718" w14:textId="77777777" w:rsidTr="003D53BE">
        <w:trPr>
          <w:trHeight w:val="649"/>
        </w:trPr>
        <w:tc>
          <w:tcPr>
            <w:tcW w:w="1358" w:type="dxa"/>
            <w:vMerge/>
            <w:shd w:val="clear" w:color="000000" w:fill="FFFFFF"/>
            <w:vAlign w:val="center"/>
          </w:tcPr>
          <w:p w14:paraId="4807721B"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60B158A3"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Académicos, estudiantes, investigadores</w:t>
            </w:r>
          </w:p>
        </w:tc>
        <w:tc>
          <w:tcPr>
            <w:tcW w:w="5061" w:type="dxa"/>
            <w:shd w:val="clear" w:color="000000" w:fill="FFFFFF"/>
            <w:vAlign w:val="center"/>
          </w:tcPr>
          <w:p w14:paraId="0EA25576" w14:textId="66158C2E"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Investigaciones académicas</w:t>
            </w:r>
            <w:r w:rsidR="00256058">
              <w:rPr>
                <w:rFonts w:ascii="Century Gothic" w:hAnsi="Century Gothic"/>
                <w:color w:val="595959" w:themeColor="text1" w:themeTint="A6"/>
              </w:rPr>
              <w:t>.</w:t>
            </w:r>
          </w:p>
        </w:tc>
      </w:tr>
      <w:tr w:rsidR="00CF0C1E" w:rsidRPr="00527E0F" w14:paraId="08D2C1FF" w14:textId="77777777" w:rsidTr="003D53BE">
        <w:trPr>
          <w:trHeight w:val="401"/>
        </w:trPr>
        <w:tc>
          <w:tcPr>
            <w:tcW w:w="1358" w:type="dxa"/>
            <w:vMerge/>
            <w:shd w:val="clear" w:color="000000" w:fill="FFFFFF"/>
            <w:vAlign w:val="center"/>
          </w:tcPr>
          <w:p w14:paraId="3975122D"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5B471380"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Empleado privado</w:t>
            </w:r>
          </w:p>
        </w:tc>
        <w:tc>
          <w:tcPr>
            <w:tcW w:w="5061" w:type="dxa"/>
            <w:shd w:val="clear" w:color="000000" w:fill="FFFFFF"/>
            <w:vAlign w:val="center"/>
          </w:tcPr>
          <w:p w14:paraId="50C3F675" w14:textId="488893AF"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Investigaciones académicas</w:t>
            </w:r>
            <w:r w:rsidR="00256058">
              <w:rPr>
                <w:rFonts w:ascii="Century Gothic" w:hAnsi="Century Gothic"/>
                <w:color w:val="595959" w:themeColor="text1" w:themeTint="A6"/>
              </w:rPr>
              <w:t>.</w:t>
            </w:r>
          </w:p>
        </w:tc>
      </w:tr>
      <w:tr w:rsidR="00CF0C1E" w:rsidRPr="00527E0F" w14:paraId="289940A9" w14:textId="77777777" w:rsidTr="003D53BE">
        <w:trPr>
          <w:trHeight w:val="401"/>
        </w:trPr>
        <w:tc>
          <w:tcPr>
            <w:tcW w:w="1358" w:type="dxa"/>
            <w:vMerge/>
            <w:shd w:val="clear" w:color="000000" w:fill="FFFFFF"/>
            <w:vAlign w:val="center"/>
          </w:tcPr>
          <w:p w14:paraId="1868FECC" w14:textId="77777777" w:rsidR="00492810" w:rsidRPr="00443329" w:rsidRDefault="00492810" w:rsidP="003D53BE">
            <w:pPr>
              <w:jc w:val="center"/>
              <w:rPr>
                <w:rFonts w:ascii="Century Gothic" w:hAnsi="Century Gothic"/>
                <w:color w:val="595959" w:themeColor="text1" w:themeTint="A6"/>
              </w:rPr>
            </w:pPr>
          </w:p>
        </w:tc>
        <w:tc>
          <w:tcPr>
            <w:tcW w:w="2693" w:type="dxa"/>
            <w:shd w:val="clear" w:color="000000" w:fill="FFFFFF"/>
            <w:noWrap/>
            <w:vAlign w:val="center"/>
          </w:tcPr>
          <w:p w14:paraId="0F03A391"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Empleado Público</w:t>
            </w:r>
          </w:p>
        </w:tc>
        <w:tc>
          <w:tcPr>
            <w:tcW w:w="5061" w:type="dxa"/>
            <w:shd w:val="clear" w:color="000000" w:fill="FFFFFF"/>
            <w:vAlign w:val="center"/>
          </w:tcPr>
          <w:p w14:paraId="19A6A1C8" w14:textId="34A92D9C"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Monitoreo de políticas</w:t>
            </w:r>
            <w:r w:rsidR="00256058">
              <w:rPr>
                <w:rFonts w:ascii="Century Gothic" w:hAnsi="Century Gothic"/>
                <w:color w:val="595959" w:themeColor="text1" w:themeTint="A6"/>
              </w:rPr>
              <w:t>.</w:t>
            </w:r>
          </w:p>
        </w:tc>
      </w:tr>
      <w:tr w:rsidR="00CF0C1E" w:rsidRPr="00527E0F" w14:paraId="6B73BB51" w14:textId="77777777" w:rsidTr="003D53BE">
        <w:trPr>
          <w:trHeight w:val="401"/>
        </w:trPr>
        <w:tc>
          <w:tcPr>
            <w:tcW w:w="1358" w:type="dxa"/>
            <w:vMerge w:val="restart"/>
            <w:shd w:val="clear" w:color="000000" w:fill="FFFFFF"/>
            <w:vAlign w:val="center"/>
          </w:tcPr>
          <w:p w14:paraId="1A52666B" w14:textId="77777777" w:rsidR="00492810" w:rsidRPr="00443329" w:rsidRDefault="00492810" w:rsidP="003D53BE">
            <w:pPr>
              <w:jc w:val="center"/>
              <w:rPr>
                <w:rFonts w:ascii="Century Gothic" w:hAnsi="Century Gothic"/>
                <w:color w:val="595959" w:themeColor="text1" w:themeTint="A6"/>
              </w:rPr>
            </w:pPr>
            <w:r w:rsidRPr="00443329">
              <w:rPr>
                <w:rFonts w:ascii="Century Gothic" w:hAnsi="Century Gothic"/>
                <w:color w:val="595959" w:themeColor="text1" w:themeTint="A6"/>
              </w:rPr>
              <w:t>Interno</w:t>
            </w:r>
          </w:p>
        </w:tc>
        <w:tc>
          <w:tcPr>
            <w:tcW w:w="2693" w:type="dxa"/>
            <w:shd w:val="clear" w:color="000000" w:fill="FFFFFF"/>
            <w:noWrap/>
            <w:vAlign w:val="center"/>
          </w:tcPr>
          <w:p w14:paraId="662FD43C" w14:textId="0CD52E8F" w:rsidR="00492810" w:rsidRPr="00443329" w:rsidRDefault="00492810" w:rsidP="00256058">
            <w:pPr>
              <w:rPr>
                <w:rFonts w:ascii="Century Gothic" w:hAnsi="Century Gothic"/>
                <w:color w:val="595959" w:themeColor="text1" w:themeTint="A6"/>
                <w:szCs w:val="22"/>
              </w:rPr>
            </w:pPr>
            <w:r w:rsidRPr="00443329">
              <w:rPr>
                <w:rFonts w:ascii="Century Gothic" w:hAnsi="Century Gothic"/>
                <w:color w:val="595959" w:themeColor="text1" w:themeTint="A6"/>
              </w:rPr>
              <w:t>Encuesta Estructural Empresarial</w:t>
            </w:r>
          </w:p>
        </w:tc>
        <w:tc>
          <w:tcPr>
            <w:tcW w:w="5061" w:type="dxa"/>
            <w:shd w:val="clear" w:color="000000" w:fill="FFFFFF"/>
            <w:vAlign w:val="center"/>
          </w:tcPr>
          <w:p w14:paraId="53EDF8EF" w14:textId="2B093F3F"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Marco muestral para levantar las encuestas</w:t>
            </w:r>
            <w:r w:rsidR="00256058">
              <w:rPr>
                <w:rFonts w:ascii="Century Gothic" w:hAnsi="Century Gothic"/>
                <w:color w:val="595959" w:themeColor="text1" w:themeTint="A6"/>
              </w:rPr>
              <w:t>.</w:t>
            </w:r>
          </w:p>
        </w:tc>
      </w:tr>
      <w:tr w:rsidR="00CF0C1E" w:rsidRPr="00527E0F" w14:paraId="7DD62F53" w14:textId="77777777" w:rsidTr="000D21DB">
        <w:trPr>
          <w:trHeight w:val="401"/>
        </w:trPr>
        <w:tc>
          <w:tcPr>
            <w:tcW w:w="1358" w:type="dxa"/>
            <w:vMerge/>
            <w:shd w:val="clear" w:color="000000" w:fill="FFFFFF"/>
          </w:tcPr>
          <w:p w14:paraId="51E6121A" w14:textId="77777777" w:rsidR="00492810" w:rsidRPr="00443329" w:rsidRDefault="00492810" w:rsidP="00CF0C1E">
            <w:pPr>
              <w:rPr>
                <w:rFonts w:ascii="Century Gothic" w:hAnsi="Century Gothic"/>
                <w:color w:val="595959" w:themeColor="text1" w:themeTint="A6"/>
              </w:rPr>
            </w:pPr>
          </w:p>
        </w:tc>
        <w:tc>
          <w:tcPr>
            <w:tcW w:w="2693" w:type="dxa"/>
            <w:shd w:val="clear" w:color="000000" w:fill="FFFFFF"/>
            <w:noWrap/>
            <w:vAlign w:val="center"/>
          </w:tcPr>
          <w:p w14:paraId="02515D12" w14:textId="77777777" w:rsidR="00492810" w:rsidRPr="00443329" w:rsidRDefault="00492810" w:rsidP="00CF0C1E">
            <w:pPr>
              <w:rPr>
                <w:rFonts w:ascii="Century Gothic" w:hAnsi="Century Gothic"/>
                <w:color w:val="595959" w:themeColor="text1" w:themeTint="A6"/>
                <w:szCs w:val="22"/>
              </w:rPr>
            </w:pPr>
            <w:r w:rsidRPr="00443329">
              <w:rPr>
                <w:rFonts w:ascii="Century Gothic" w:hAnsi="Century Gothic"/>
                <w:color w:val="595959" w:themeColor="text1" w:themeTint="A6"/>
              </w:rPr>
              <w:t>Laboratorio de Dinámica Laboral y Empresarial</w:t>
            </w:r>
          </w:p>
        </w:tc>
        <w:tc>
          <w:tcPr>
            <w:tcW w:w="5061" w:type="dxa"/>
            <w:shd w:val="clear" w:color="000000" w:fill="FFFFFF"/>
            <w:vAlign w:val="center"/>
          </w:tcPr>
          <w:p w14:paraId="066C250E" w14:textId="3FDCFC3E" w:rsidR="00492810" w:rsidRPr="00443329" w:rsidRDefault="00492810" w:rsidP="00CF0C1E">
            <w:pPr>
              <w:rPr>
                <w:rFonts w:ascii="Century Gothic" w:hAnsi="Century Gothic"/>
                <w:color w:val="595959" w:themeColor="text1" w:themeTint="A6"/>
              </w:rPr>
            </w:pPr>
            <w:r w:rsidRPr="00443329">
              <w:rPr>
                <w:rFonts w:ascii="Century Gothic" w:hAnsi="Century Gothic"/>
                <w:color w:val="595959" w:themeColor="text1" w:themeTint="A6"/>
              </w:rPr>
              <w:t>Fuente de información para análisis especializados de demografía empresarial y estructura productiva</w:t>
            </w:r>
            <w:r w:rsidRPr="00443329">
              <w:rPr>
                <w:rStyle w:val="Refdenotaalpie"/>
                <w:rFonts w:ascii="Century Gothic" w:hAnsi="Century Gothic"/>
                <w:color w:val="595959" w:themeColor="text1" w:themeTint="A6"/>
              </w:rPr>
              <w:footnoteReference w:id="5"/>
            </w:r>
            <w:r w:rsidR="00256058">
              <w:rPr>
                <w:rFonts w:ascii="Century Gothic" w:hAnsi="Century Gothic"/>
                <w:color w:val="595959" w:themeColor="text1" w:themeTint="A6"/>
              </w:rPr>
              <w:t>.</w:t>
            </w:r>
          </w:p>
        </w:tc>
      </w:tr>
    </w:tbl>
    <w:p w14:paraId="1CE27E8D" w14:textId="77777777" w:rsidR="00492810" w:rsidRPr="00443329" w:rsidRDefault="00492810" w:rsidP="00CF0C1E">
      <w:pPr>
        <w:rPr>
          <w:rFonts w:ascii="Century Gothic" w:hAnsi="Century Gothic"/>
          <w:color w:val="595959" w:themeColor="text1" w:themeTint="A6"/>
          <w:sz w:val="16"/>
          <w:szCs w:val="16"/>
        </w:rPr>
      </w:pPr>
      <w:r w:rsidRPr="00443329">
        <w:rPr>
          <w:rFonts w:ascii="Century Gothic" w:hAnsi="Century Gothic"/>
          <w:b/>
          <w:color w:val="595959" w:themeColor="text1" w:themeTint="A6"/>
        </w:rPr>
        <w:t xml:space="preserve"> </w:t>
      </w:r>
      <w:r w:rsidRPr="00443329">
        <w:rPr>
          <w:rFonts w:ascii="Century Gothic" w:hAnsi="Century Gothic"/>
          <w:b/>
          <w:color w:val="595959" w:themeColor="text1" w:themeTint="A6"/>
          <w:sz w:val="16"/>
          <w:szCs w:val="16"/>
        </w:rPr>
        <w:t>Fuente:</w:t>
      </w:r>
      <w:r w:rsidRPr="00443329">
        <w:rPr>
          <w:rFonts w:ascii="Century Gothic" w:hAnsi="Century Gothic"/>
          <w:color w:val="595959" w:themeColor="text1" w:themeTint="A6"/>
          <w:sz w:val="16"/>
          <w:szCs w:val="16"/>
        </w:rPr>
        <w:t xml:space="preserve"> Matriz de usuarios GEERA</w:t>
      </w:r>
    </w:p>
    <w:p w14:paraId="381DB812" w14:textId="77777777" w:rsidR="00492810" w:rsidRPr="00443329" w:rsidRDefault="00492810" w:rsidP="00CF0C1E">
      <w:pPr>
        <w:rPr>
          <w:rFonts w:ascii="Century Gothic" w:hAnsi="Century Gothic"/>
          <w:b/>
          <w:color w:val="595959" w:themeColor="text1" w:themeTint="A6"/>
        </w:rPr>
      </w:pPr>
    </w:p>
    <w:p w14:paraId="672B6400" w14:textId="77777777" w:rsidR="00492810"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La permanente comunicación con los usuarios de la información del DIEE, particularmente con los usuarios internos permite retroalimentar novedades, receptar sugerencias y necesidades de información a través de reuniones y/o mesas de trabajo.</w:t>
      </w:r>
    </w:p>
    <w:p w14:paraId="02C28D23" w14:textId="77777777" w:rsidR="000D21DB" w:rsidRDefault="000D21DB" w:rsidP="00443329">
      <w:pPr>
        <w:jc w:val="both"/>
        <w:rPr>
          <w:rFonts w:ascii="Century Gothic" w:hAnsi="Century Gothic"/>
          <w:color w:val="595959" w:themeColor="text1" w:themeTint="A6"/>
          <w:lang w:eastAsia="es-EC"/>
        </w:rPr>
      </w:pPr>
    </w:p>
    <w:p w14:paraId="36EE441F" w14:textId="77777777" w:rsidR="000D21DB" w:rsidRDefault="000D21DB" w:rsidP="00443329">
      <w:pPr>
        <w:jc w:val="both"/>
        <w:rPr>
          <w:rFonts w:ascii="Century Gothic" w:hAnsi="Century Gothic"/>
          <w:color w:val="595959" w:themeColor="text1" w:themeTint="A6"/>
          <w:lang w:eastAsia="es-EC"/>
        </w:rPr>
      </w:pPr>
    </w:p>
    <w:p w14:paraId="06A84F90" w14:textId="77777777" w:rsidR="00492810" w:rsidRDefault="00492810" w:rsidP="00492810">
      <w:pPr>
        <w:pStyle w:val="SUBTITULOINEC"/>
        <w:jc w:val="left"/>
        <w:rPr>
          <w:b w:val="0"/>
          <w:bCs w:val="0"/>
          <w:color w:val="000000" w:themeColor="text1"/>
          <w:sz w:val="24"/>
          <w:szCs w:val="24"/>
          <w:lang w:eastAsia="es-EC"/>
          <w14:textFill>
            <w14:solidFill>
              <w14:schemeClr w14:val="tx1">
                <w14:lumMod w14:val="65000"/>
                <w14:lumOff w14:val="35000"/>
                <w14:lumMod w14:val="65000"/>
                <w14:lumOff w14:val="35000"/>
              </w14:schemeClr>
            </w14:solidFill>
          </w14:textFill>
        </w:rPr>
      </w:pPr>
      <w:bookmarkStart w:id="22" w:name="_Toc53757411"/>
    </w:p>
    <w:p w14:paraId="0200E896" w14:textId="77777777" w:rsidR="00492810" w:rsidRPr="00176DC8" w:rsidRDefault="00492810" w:rsidP="00443329">
      <w:pPr>
        <w:pStyle w:val="SUBTITULOINEC"/>
        <w:numPr>
          <w:ilvl w:val="1"/>
          <w:numId w:val="33"/>
        </w:numPr>
        <w:jc w:val="both"/>
        <w:rPr>
          <w:sz w:val="32"/>
        </w:rPr>
      </w:pPr>
      <w:r w:rsidRPr="00176DC8">
        <w:rPr>
          <w:sz w:val="32"/>
        </w:rPr>
        <w:t>Objetivos y delimitación de la operación estadística</w:t>
      </w:r>
      <w:bookmarkEnd w:id="17"/>
      <w:bookmarkEnd w:id="22"/>
    </w:p>
    <w:p w14:paraId="77E7687A" w14:textId="77777777" w:rsidR="00492810" w:rsidRPr="00443329" w:rsidRDefault="00492810" w:rsidP="00492810">
      <w:pPr>
        <w:rPr>
          <w:rFonts w:ascii="Century Gothic" w:hAnsi="Century Gothic"/>
        </w:rPr>
      </w:pPr>
      <w:bookmarkStart w:id="23" w:name="_Toc412998104"/>
    </w:p>
    <w:p w14:paraId="03A0140D" w14:textId="77777777" w:rsidR="00492810" w:rsidRPr="00443329" w:rsidRDefault="00492810" w:rsidP="003C20C6">
      <w:pPr>
        <w:pStyle w:val="Prrafodelista"/>
        <w:keepNext/>
        <w:keepLines/>
        <w:numPr>
          <w:ilvl w:val="1"/>
          <w:numId w:val="1"/>
        </w:numPr>
        <w:spacing w:after="0" w:line="240" w:lineRule="auto"/>
        <w:contextualSpacing w:val="0"/>
        <w:outlineLvl w:val="1"/>
        <w:rPr>
          <w:rFonts w:ascii="Century Gothic" w:hAnsi="Century Gothic"/>
          <w:b/>
          <w:vanish/>
          <w:color w:val="595959" w:themeColor="text1" w:themeTint="A6"/>
          <w:sz w:val="24"/>
        </w:rPr>
      </w:pPr>
      <w:bookmarkStart w:id="24" w:name="_Toc527493507"/>
      <w:bookmarkStart w:id="25" w:name="_Toc527493578"/>
      <w:bookmarkStart w:id="26" w:name="_Toc527710042"/>
      <w:bookmarkStart w:id="27" w:name="_Toc527971952"/>
      <w:bookmarkStart w:id="28" w:name="_Toc527972011"/>
      <w:bookmarkStart w:id="29" w:name="_Toc527972848"/>
      <w:bookmarkStart w:id="30" w:name="_Toc527972915"/>
      <w:bookmarkStart w:id="31" w:name="_Toc527973839"/>
      <w:bookmarkStart w:id="32" w:name="_Toc21540803"/>
      <w:bookmarkStart w:id="33" w:name="_Toc21960900"/>
      <w:bookmarkStart w:id="34" w:name="_Toc25920702"/>
      <w:bookmarkStart w:id="35" w:name="_Toc53757412"/>
      <w:bookmarkEnd w:id="24"/>
      <w:bookmarkEnd w:id="25"/>
      <w:bookmarkEnd w:id="26"/>
      <w:bookmarkEnd w:id="27"/>
      <w:bookmarkEnd w:id="28"/>
      <w:bookmarkEnd w:id="29"/>
      <w:bookmarkEnd w:id="30"/>
      <w:bookmarkEnd w:id="31"/>
      <w:bookmarkEnd w:id="32"/>
      <w:bookmarkEnd w:id="33"/>
      <w:bookmarkEnd w:id="34"/>
      <w:bookmarkEnd w:id="35"/>
    </w:p>
    <w:p w14:paraId="2F2DE75A" w14:textId="77777777" w:rsidR="00492810" w:rsidRPr="00443329" w:rsidRDefault="00492810" w:rsidP="003C20C6">
      <w:pPr>
        <w:pStyle w:val="Prrafodelista"/>
        <w:keepNext/>
        <w:keepLines/>
        <w:numPr>
          <w:ilvl w:val="1"/>
          <w:numId w:val="1"/>
        </w:numPr>
        <w:spacing w:after="0" w:line="240" w:lineRule="auto"/>
        <w:contextualSpacing w:val="0"/>
        <w:outlineLvl w:val="1"/>
        <w:rPr>
          <w:rFonts w:ascii="Century Gothic" w:hAnsi="Century Gothic"/>
          <w:b/>
          <w:vanish/>
          <w:color w:val="595959" w:themeColor="text1" w:themeTint="A6"/>
          <w:sz w:val="24"/>
        </w:rPr>
      </w:pPr>
      <w:bookmarkStart w:id="36" w:name="_Toc527493508"/>
      <w:bookmarkStart w:id="37" w:name="_Toc527493579"/>
      <w:bookmarkStart w:id="38" w:name="_Toc527710043"/>
      <w:bookmarkStart w:id="39" w:name="_Toc527971953"/>
      <w:bookmarkStart w:id="40" w:name="_Toc527972012"/>
      <w:bookmarkStart w:id="41" w:name="_Toc527972849"/>
      <w:bookmarkStart w:id="42" w:name="_Toc527972916"/>
      <w:bookmarkStart w:id="43" w:name="_Toc527973840"/>
      <w:bookmarkStart w:id="44" w:name="_Toc21540804"/>
      <w:bookmarkStart w:id="45" w:name="_Toc21960901"/>
      <w:bookmarkStart w:id="46" w:name="_Toc25920703"/>
      <w:bookmarkStart w:id="47" w:name="_Toc53757413"/>
      <w:bookmarkEnd w:id="36"/>
      <w:bookmarkEnd w:id="37"/>
      <w:bookmarkEnd w:id="38"/>
      <w:bookmarkEnd w:id="39"/>
      <w:bookmarkEnd w:id="40"/>
      <w:bookmarkEnd w:id="41"/>
      <w:bookmarkEnd w:id="42"/>
      <w:bookmarkEnd w:id="43"/>
      <w:bookmarkEnd w:id="44"/>
      <w:bookmarkEnd w:id="45"/>
      <w:bookmarkEnd w:id="46"/>
      <w:bookmarkEnd w:id="47"/>
    </w:p>
    <w:p w14:paraId="0F113D1E" w14:textId="77777777" w:rsidR="00492810" w:rsidRPr="00443329" w:rsidRDefault="00492810" w:rsidP="003C20C6">
      <w:pPr>
        <w:pStyle w:val="Prrafodelista"/>
        <w:keepNext/>
        <w:keepLines/>
        <w:numPr>
          <w:ilvl w:val="2"/>
          <w:numId w:val="1"/>
        </w:numPr>
        <w:spacing w:after="0" w:line="240" w:lineRule="auto"/>
        <w:contextualSpacing w:val="0"/>
        <w:outlineLvl w:val="1"/>
        <w:rPr>
          <w:rFonts w:ascii="Century Gothic" w:hAnsi="Century Gothic"/>
          <w:b/>
          <w:vanish/>
          <w:color w:val="595959" w:themeColor="text1" w:themeTint="A6"/>
          <w:sz w:val="24"/>
        </w:rPr>
      </w:pPr>
      <w:bookmarkStart w:id="48" w:name="_Toc527493509"/>
      <w:bookmarkStart w:id="49" w:name="_Toc527493580"/>
      <w:bookmarkStart w:id="50" w:name="_Toc527710044"/>
      <w:bookmarkStart w:id="51" w:name="_Toc527971954"/>
      <w:bookmarkStart w:id="52" w:name="_Toc527972013"/>
      <w:bookmarkStart w:id="53" w:name="_Toc527972850"/>
      <w:bookmarkStart w:id="54" w:name="_Toc527972917"/>
      <w:bookmarkStart w:id="55" w:name="_Toc527973841"/>
      <w:bookmarkStart w:id="56" w:name="_Toc21540805"/>
      <w:bookmarkStart w:id="57" w:name="_Toc21960902"/>
      <w:bookmarkStart w:id="58" w:name="_Toc25920704"/>
      <w:bookmarkStart w:id="59" w:name="_Toc53757414"/>
      <w:bookmarkEnd w:id="48"/>
      <w:bookmarkEnd w:id="49"/>
      <w:bookmarkEnd w:id="50"/>
      <w:bookmarkEnd w:id="51"/>
      <w:bookmarkEnd w:id="52"/>
      <w:bookmarkEnd w:id="53"/>
      <w:bookmarkEnd w:id="54"/>
      <w:bookmarkEnd w:id="55"/>
      <w:bookmarkEnd w:id="56"/>
      <w:bookmarkEnd w:id="57"/>
      <w:bookmarkEnd w:id="58"/>
      <w:bookmarkEnd w:id="59"/>
    </w:p>
    <w:p w14:paraId="23625E13" w14:textId="77777777" w:rsidR="00492810" w:rsidRPr="00443329" w:rsidRDefault="00492810" w:rsidP="003C20C6">
      <w:pPr>
        <w:pStyle w:val="Prrafodelista"/>
        <w:keepNext/>
        <w:keepLines/>
        <w:numPr>
          <w:ilvl w:val="0"/>
          <w:numId w:val="2"/>
        </w:numPr>
        <w:spacing w:after="0" w:line="240" w:lineRule="auto"/>
        <w:contextualSpacing w:val="0"/>
        <w:outlineLvl w:val="1"/>
        <w:rPr>
          <w:rFonts w:ascii="Century Gothic" w:hAnsi="Century Gothic"/>
          <w:b/>
          <w:vanish/>
          <w:color w:val="595959" w:themeColor="text1" w:themeTint="A6"/>
          <w:sz w:val="24"/>
        </w:rPr>
      </w:pPr>
      <w:bookmarkStart w:id="60" w:name="_Toc527493510"/>
      <w:bookmarkStart w:id="61" w:name="_Toc527493581"/>
      <w:bookmarkStart w:id="62" w:name="_Toc527710045"/>
      <w:bookmarkStart w:id="63" w:name="_Toc527971955"/>
      <w:bookmarkStart w:id="64" w:name="_Toc527972014"/>
      <w:bookmarkStart w:id="65" w:name="_Toc527972851"/>
      <w:bookmarkStart w:id="66" w:name="_Toc527972918"/>
      <w:bookmarkStart w:id="67" w:name="_Toc527973842"/>
      <w:bookmarkStart w:id="68" w:name="_Toc21540806"/>
      <w:bookmarkStart w:id="69" w:name="_Toc21960903"/>
      <w:bookmarkStart w:id="70" w:name="_Toc25920705"/>
      <w:bookmarkStart w:id="71" w:name="_Toc53757415"/>
      <w:bookmarkEnd w:id="60"/>
      <w:bookmarkEnd w:id="61"/>
      <w:bookmarkEnd w:id="62"/>
      <w:bookmarkEnd w:id="63"/>
      <w:bookmarkEnd w:id="64"/>
      <w:bookmarkEnd w:id="65"/>
      <w:bookmarkEnd w:id="66"/>
      <w:bookmarkEnd w:id="67"/>
      <w:bookmarkEnd w:id="68"/>
      <w:bookmarkEnd w:id="69"/>
      <w:bookmarkEnd w:id="70"/>
      <w:bookmarkEnd w:id="71"/>
    </w:p>
    <w:p w14:paraId="0FBFBEE5" w14:textId="77777777" w:rsidR="00492810" w:rsidRPr="00443329" w:rsidRDefault="00492810" w:rsidP="003C20C6">
      <w:pPr>
        <w:pStyle w:val="Prrafodelista"/>
        <w:keepNext/>
        <w:keepLines/>
        <w:numPr>
          <w:ilvl w:val="1"/>
          <w:numId w:val="2"/>
        </w:numPr>
        <w:spacing w:after="0" w:line="240" w:lineRule="auto"/>
        <w:contextualSpacing w:val="0"/>
        <w:outlineLvl w:val="1"/>
        <w:rPr>
          <w:rFonts w:ascii="Century Gothic" w:hAnsi="Century Gothic"/>
          <w:b/>
          <w:vanish/>
          <w:color w:val="595959" w:themeColor="text1" w:themeTint="A6"/>
          <w:sz w:val="24"/>
        </w:rPr>
      </w:pPr>
      <w:bookmarkStart w:id="72" w:name="_Toc527493511"/>
      <w:bookmarkStart w:id="73" w:name="_Toc527493582"/>
      <w:bookmarkStart w:id="74" w:name="_Toc527710046"/>
      <w:bookmarkStart w:id="75" w:name="_Toc527971956"/>
      <w:bookmarkStart w:id="76" w:name="_Toc527972015"/>
      <w:bookmarkStart w:id="77" w:name="_Toc527972852"/>
      <w:bookmarkStart w:id="78" w:name="_Toc527972919"/>
      <w:bookmarkStart w:id="79" w:name="_Toc527973843"/>
      <w:bookmarkStart w:id="80" w:name="_Toc21540807"/>
      <w:bookmarkStart w:id="81" w:name="_Toc21960904"/>
      <w:bookmarkStart w:id="82" w:name="_Toc25920706"/>
      <w:bookmarkStart w:id="83" w:name="_Toc53757416"/>
      <w:bookmarkEnd w:id="72"/>
      <w:bookmarkEnd w:id="73"/>
      <w:bookmarkEnd w:id="74"/>
      <w:bookmarkEnd w:id="75"/>
      <w:bookmarkEnd w:id="76"/>
      <w:bookmarkEnd w:id="77"/>
      <w:bookmarkEnd w:id="78"/>
      <w:bookmarkEnd w:id="79"/>
      <w:bookmarkEnd w:id="80"/>
      <w:bookmarkEnd w:id="81"/>
      <w:bookmarkEnd w:id="82"/>
      <w:bookmarkEnd w:id="83"/>
    </w:p>
    <w:p w14:paraId="4A0B0F50" w14:textId="77777777" w:rsidR="00492810" w:rsidRPr="00176DC8" w:rsidRDefault="009B7728" w:rsidP="00443329">
      <w:pPr>
        <w:pStyle w:val="SUBTITULOINEC"/>
        <w:ind w:left="708"/>
        <w:jc w:val="left"/>
        <w:rPr>
          <w:sz w:val="32"/>
          <w:szCs w:val="32"/>
        </w:rPr>
      </w:pPr>
      <w:bookmarkStart w:id="84" w:name="_Toc53757417"/>
      <w:r w:rsidRPr="00176DC8">
        <w:rPr>
          <w:sz w:val="32"/>
          <w:szCs w:val="32"/>
          <w:lang w:eastAsia="es-EC"/>
        </w:rPr>
        <w:t xml:space="preserve">   </w:t>
      </w:r>
      <w:r w:rsidR="00492810" w:rsidRPr="00176DC8">
        <w:rPr>
          <w:sz w:val="32"/>
          <w:szCs w:val="32"/>
        </w:rPr>
        <w:t>1.2.1 Objetivos</w:t>
      </w:r>
      <w:bookmarkEnd w:id="23"/>
      <w:bookmarkEnd w:id="84"/>
    </w:p>
    <w:p w14:paraId="72564A5A" w14:textId="77777777" w:rsidR="00E12B20" w:rsidRDefault="00E12B20" w:rsidP="00E12B20">
      <w:pPr>
        <w:tabs>
          <w:tab w:val="left" w:pos="993"/>
        </w:tabs>
        <w:jc w:val="both"/>
        <w:rPr>
          <w:rFonts w:ascii="Century Gothic" w:hAnsi="Century Gothic"/>
          <w:b/>
          <w:bCs/>
          <w:color w:val="505685"/>
          <w14:textFill>
            <w14:solidFill>
              <w14:srgbClr w14:val="505685">
                <w14:lumMod w14:val="65000"/>
                <w14:lumOff w14:val="35000"/>
              </w14:srgbClr>
            </w14:solidFill>
          </w14:textFill>
        </w:rPr>
      </w:pPr>
      <w:bookmarkStart w:id="85" w:name="_Toc381774257"/>
      <w:bookmarkStart w:id="86" w:name="_Toc382901673"/>
      <w:bookmarkStart w:id="87" w:name="_Toc412998105"/>
    </w:p>
    <w:p w14:paraId="25574BC7" w14:textId="0397D1BF" w:rsidR="00492810" w:rsidRPr="00E12B20" w:rsidRDefault="00492810" w:rsidP="00E12B20">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E12B20">
        <w:rPr>
          <w:rFonts w:ascii="Century Gothic" w:hAnsi="Century Gothic"/>
          <w:b/>
          <w:bCs/>
          <w:color w:val="505685"/>
          <w14:textFill>
            <w14:solidFill>
              <w14:srgbClr w14:val="505685">
                <w14:lumMod w14:val="65000"/>
                <w14:lumOff w14:val="35000"/>
              </w14:srgbClr>
            </w14:solidFill>
          </w14:textFill>
        </w:rPr>
        <w:t>Objetivo General</w:t>
      </w:r>
      <w:bookmarkStart w:id="88" w:name="_Toc381774258"/>
      <w:bookmarkStart w:id="89" w:name="_Toc382901674"/>
      <w:bookmarkEnd w:id="85"/>
      <w:bookmarkEnd w:id="86"/>
      <w:bookmarkEnd w:id="87"/>
    </w:p>
    <w:p w14:paraId="0E17C33D" w14:textId="77777777" w:rsidR="00E12B20" w:rsidRDefault="00E12B20" w:rsidP="00E12B20">
      <w:pPr>
        <w:jc w:val="both"/>
        <w:rPr>
          <w:rFonts w:ascii="Century Gothic" w:hAnsi="Century Gothic"/>
          <w:color w:val="595959" w:themeColor="text1" w:themeTint="A6"/>
          <w:lang w:eastAsia="es-EC"/>
        </w:rPr>
      </w:pPr>
      <w:bookmarkStart w:id="90" w:name="_Toc412998106"/>
    </w:p>
    <w:p w14:paraId="3436693D" w14:textId="77777777" w:rsidR="002677F5" w:rsidRPr="00527E0F" w:rsidRDefault="002677F5" w:rsidP="002677F5">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Producir información estadística periódica a partir de registros administrativos sobre las empresas y establecimientos del país, con el fin de actualizar los marcos muestrales de encuestas económicas, y proporcionar insumos para el análisis estadístico, de mercado y de demografía empresarial.</w:t>
      </w:r>
    </w:p>
    <w:p w14:paraId="48BF2F9B" w14:textId="77777777" w:rsidR="00A46DFC" w:rsidRDefault="00A46DFC" w:rsidP="00E12B20">
      <w:pPr>
        <w:tabs>
          <w:tab w:val="left" w:pos="993"/>
        </w:tabs>
        <w:jc w:val="both"/>
        <w:rPr>
          <w:rFonts w:ascii="Century Gothic" w:hAnsi="Century Gothic"/>
          <w:b/>
          <w:bCs/>
          <w:color w:val="505685"/>
          <w14:textFill>
            <w14:solidFill>
              <w14:srgbClr w14:val="505685">
                <w14:lumMod w14:val="65000"/>
                <w14:lumOff w14:val="35000"/>
              </w14:srgbClr>
            </w14:solidFill>
          </w14:textFill>
        </w:rPr>
      </w:pPr>
    </w:p>
    <w:p w14:paraId="04267584" w14:textId="5493C4C1" w:rsidR="00492810" w:rsidRDefault="00492810" w:rsidP="00E12B20">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E12B20">
        <w:rPr>
          <w:rFonts w:ascii="Century Gothic" w:hAnsi="Century Gothic"/>
          <w:b/>
          <w:bCs/>
          <w:color w:val="505685"/>
          <w14:textFill>
            <w14:solidFill>
              <w14:srgbClr w14:val="505685">
                <w14:lumMod w14:val="65000"/>
                <w14:lumOff w14:val="35000"/>
              </w14:srgbClr>
            </w14:solidFill>
          </w14:textFill>
        </w:rPr>
        <w:t>Objetivos Específicos</w:t>
      </w:r>
      <w:bookmarkEnd w:id="88"/>
      <w:bookmarkEnd w:id="89"/>
      <w:bookmarkEnd w:id="90"/>
    </w:p>
    <w:p w14:paraId="43F008CA" w14:textId="77777777" w:rsidR="00E12B20" w:rsidRDefault="00E12B20" w:rsidP="00E12B20">
      <w:pPr>
        <w:tabs>
          <w:tab w:val="left" w:pos="993"/>
        </w:tabs>
        <w:jc w:val="both"/>
        <w:rPr>
          <w:rFonts w:ascii="Century Gothic" w:hAnsi="Century Gothic"/>
          <w:b/>
          <w:bCs/>
          <w:color w:val="505685"/>
          <w14:textFill>
            <w14:solidFill>
              <w14:srgbClr w14:val="505685">
                <w14:lumMod w14:val="65000"/>
                <w14:lumOff w14:val="35000"/>
              </w14:srgbClr>
            </w14:solidFill>
          </w14:textFill>
        </w:rPr>
      </w:pPr>
    </w:p>
    <w:p w14:paraId="5276FA2E" w14:textId="77777777" w:rsidR="00492810" w:rsidRPr="00443329" w:rsidRDefault="00492810" w:rsidP="003C20C6">
      <w:pPr>
        <w:pStyle w:val="Prrafodelista"/>
        <w:numPr>
          <w:ilvl w:val="0"/>
          <w:numId w:val="4"/>
        </w:numPr>
        <w:spacing w:after="240"/>
        <w:rPr>
          <w:rFonts w:ascii="Century Gothic" w:hAnsi="Century Gothic"/>
          <w:color w:val="3B3838" w:themeColor="background2" w:themeShade="40"/>
          <w:sz w:val="24"/>
        </w:rPr>
      </w:pPr>
      <w:r w:rsidRPr="00443329">
        <w:rPr>
          <w:rFonts w:ascii="Century Gothic" w:hAnsi="Century Gothic"/>
          <w:color w:val="3B3838" w:themeColor="background2" w:themeShade="40"/>
          <w:sz w:val="24"/>
        </w:rPr>
        <w:t>Constituir un directorio mínimo común de empresas y establecimientos según estándares comparables a nivel internacional.</w:t>
      </w:r>
    </w:p>
    <w:p w14:paraId="39689D83" w14:textId="77777777" w:rsidR="00492810" w:rsidRPr="00443329" w:rsidRDefault="00492810" w:rsidP="003C20C6">
      <w:pPr>
        <w:pStyle w:val="Prrafodelista"/>
        <w:numPr>
          <w:ilvl w:val="0"/>
          <w:numId w:val="4"/>
        </w:numPr>
        <w:rPr>
          <w:rFonts w:ascii="Century Gothic" w:hAnsi="Century Gothic"/>
          <w:color w:val="3B3838" w:themeColor="background2" w:themeShade="40"/>
          <w:sz w:val="24"/>
        </w:rPr>
      </w:pPr>
      <w:r w:rsidRPr="00443329">
        <w:rPr>
          <w:rFonts w:ascii="Century Gothic" w:hAnsi="Century Gothic"/>
          <w:color w:val="3B3838" w:themeColor="background2" w:themeShade="40"/>
          <w:sz w:val="24"/>
        </w:rPr>
        <w:t>Estructurar un directorio de empresas que sirva como marco de muestreo para las investigaciones económicas.</w:t>
      </w:r>
    </w:p>
    <w:p w14:paraId="7D6F8C85" w14:textId="77777777" w:rsidR="00492810" w:rsidRPr="00443329" w:rsidRDefault="00492810" w:rsidP="003C20C6">
      <w:pPr>
        <w:pStyle w:val="Prrafodelista"/>
        <w:numPr>
          <w:ilvl w:val="0"/>
          <w:numId w:val="4"/>
        </w:numPr>
        <w:rPr>
          <w:rFonts w:ascii="Century Gothic" w:hAnsi="Century Gothic"/>
          <w:color w:val="3B3838" w:themeColor="background2" w:themeShade="40"/>
          <w:sz w:val="24"/>
        </w:rPr>
      </w:pPr>
      <w:r w:rsidRPr="00443329">
        <w:rPr>
          <w:rFonts w:ascii="Century Gothic" w:hAnsi="Century Gothic"/>
          <w:color w:val="3B3838" w:themeColor="background2" w:themeShade="40"/>
          <w:sz w:val="24"/>
        </w:rPr>
        <w:t>Proporcionar información estadística para la obtención de indicadores de demografía empresarial.</w:t>
      </w:r>
    </w:p>
    <w:p w14:paraId="3B6EB3AB" w14:textId="77777777" w:rsidR="00492810" w:rsidRPr="00443329" w:rsidRDefault="00492810" w:rsidP="003C20C6">
      <w:pPr>
        <w:pStyle w:val="Prrafodelista"/>
        <w:numPr>
          <w:ilvl w:val="0"/>
          <w:numId w:val="4"/>
        </w:numPr>
        <w:rPr>
          <w:rFonts w:ascii="Century Gothic" w:hAnsi="Century Gothic"/>
          <w:color w:val="3B3838" w:themeColor="background2" w:themeShade="40"/>
          <w:sz w:val="24"/>
        </w:rPr>
      </w:pPr>
      <w:r w:rsidRPr="00443329">
        <w:rPr>
          <w:rFonts w:ascii="Century Gothic" w:hAnsi="Century Gothic"/>
          <w:color w:val="3B3838" w:themeColor="background2" w:themeShade="40"/>
          <w:sz w:val="24"/>
        </w:rPr>
        <w:t>Presentar información actualizada de las empresas y establecimientos del país que aporte al análisis de la política pública, análisis privado e investigación académica.</w:t>
      </w:r>
    </w:p>
    <w:p w14:paraId="20EF6996" w14:textId="77777777" w:rsidR="00492810" w:rsidRPr="00443329" w:rsidRDefault="00492810" w:rsidP="003C20C6">
      <w:pPr>
        <w:pStyle w:val="Prrafodelista"/>
        <w:numPr>
          <w:ilvl w:val="0"/>
          <w:numId w:val="4"/>
        </w:numPr>
        <w:rPr>
          <w:rFonts w:ascii="Century Gothic" w:hAnsi="Century Gothic"/>
          <w:color w:val="3B3838" w:themeColor="background2" w:themeShade="40"/>
          <w:sz w:val="24"/>
        </w:rPr>
      </w:pPr>
      <w:r w:rsidRPr="00443329">
        <w:rPr>
          <w:rFonts w:ascii="Century Gothic" w:hAnsi="Century Gothic"/>
          <w:color w:val="3B3838" w:themeColor="background2" w:themeShade="40"/>
          <w:sz w:val="24"/>
        </w:rPr>
        <w:t>Servir como insumo para la producción de las cuentas nacionales.</w:t>
      </w:r>
    </w:p>
    <w:p w14:paraId="6DB83C64" w14:textId="77777777" w:rsidR="000D21DB" w:rsidRPr="000D21DB" w:rsidRDefault="000D21DB" w:rsidP="00443329">
      <w:pPr>
        <w:pStyle w:val="SUBTITULOINEC"/>
        <w:ind w:left="708"/>
        <w:jc w:val="left"/>
        <w:rPr>
          <w:sz w:val="24"/>
          <w:szCs w:val="24"/>
        </w:rPr>
      </w:pPr>
      <w:bookmarkStart w:id="91" w:name="_Toc412998107"/>
      <w:bookmarkStart w:id="92" w:name="_Toc53757418"/>
    </w:p>
    <w:p w14:paraId="1BB25764" w14:textId="77777777" w:rsidR="00492810" w:rsidRPr="00176DC8" w:rsidRDefault="00492810" w:rsidP="00443329">
      <w:pPr>
        <w:pStyle w:val="SUBTITULOINEC"/>
        <w:ind w:left="708"/>
        <w:jc w:val="left"/>
        <w:rPr>
          <w:sz w:val="32"/>
          <w:szCs w:val="32"/>
        </w:rPr>
      </w:pPr>
      <w:r w:rsidRPr="00176DC8">
        <w:rPr>
          <w:sz w:val="32"/>
          <w:szCs w:val="32"/>
        </w:rPr>
        <w:t>1.2.2 Delimitación</w:t>
      </w:r>
      <w:bookmarkEnd w:id="91"/>
      <w:bookmarkEnd w:id="92"/>
    </w:p>
    <w:p w14:paraId="23CF5E23" w14:textId="77777777" w:rsidR="00492810" w:rsidRPr="00443329" w:rsidRDefault="00492810" w:rsidP="00492810">
      <w:pPr>
        <w:pStyle w:val="Sinespaciado"/>
        <w:rPr>
          <w:rFonts w:ascii="Century Gothic" w:hAnsi="Century Gothic"/>
          <w:sz w:val="24"/>
        </w:rPr>
      </w:pPr>
      <w:bookmarkStart w:id="93" w:name="_Toc412998108"/>
    </w:p>
    <w:p w14:paraId="655B3124"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Tipo de operación estadística</w:t>
      </w:r>
    </w:p>
    <w:p w14:paraId="76791667" w14:textId="77777777" w:rsidR="00492810" w:rsidRPr="00527E0F" w:rsidRDefault="00492810" w:rsidP="00CF0C1E">
      <w:pPr>
        <w:tabs>
          <w:tab w:val="left" w:pos="3915"/>
        </w:tabs>
        <w:spacing w:before="240"/>
        <w:rPr>
          <w:rFonts w:ascii="Century Gothic" w:hAnsi="Century Gothic"/>
          <w:color w:val="595959" w:themeColor="text1" w:themeTint="A6"/>
        </w:rPr>
      </w:pPr>
      <w:r w:rsidRPr="00527E0F">
        <w:rPr>
          <w:rFonts w:ascii="Century Gothic" w:hAnsi="Century Gothic"/>
          <w:color w:val="595959" w:themeColor="text1" w:themeTint="A6"/>
        </w:rPr>
        <w:t>Estadística basada en registros administrativos.</w:t>
      </w:r>
    </w:p>
    <w:p w14:paraId="1E5D75F1" w14:textId="77777777" w:rsidR="00492810" w:rsidRPr="00443329" w:rsidRDefault="00492810" w:rsidP="00492810">
      <w:pPr>
        <w:pStyle w:val="Sinespaciado"/>
        <w:rPr>
          <w:rFonts w:ascii="Century Gothic" w:hAnsi="Century Gothic"/>
          <w:sz w:val="24"/>
        </w:rPr>
      </w:pPr>
    </w:p>
    <w:p w14:paraId="0282503B"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Cobertura temática</w:t>
      </w:r>
    </w:p>
    <w:p w14:paraId="5C4CAB51" w14:textId="77777777" w:rsidR="00492810" w:rsidRPr="00527E0F" w:rsidRDefault="00492810" w:rsidP="00CF0C1E">
      <w:pPr>
        <w:tabs>
          <w:tab w:val="left" w:pos="3915"/>
        </w:tabs>
        <w:spacing w:before="240"/>
        <w:rPr>
          <w:rFonts w:ascii="Century Gothic" w:hAnsi="Century Gothic"/>
          <w:color w:val="595959" w:themeColor="text1" w:themeTint="A6"/>
        </w:rPr>
      </w:pPr>
      <w:r w:rsidRPr="00527E0F">
        <w:rPr>
          <w:rFonts w:ascii="Century Gothic" w:hAnsi="Century Gothic"/>
          <w:color w:val="595959" w:themeColor="text1" w:themeTint="A6"/>
        </w:rPr>
        <w:t>Dominio: Estadísticas Económicas</w:t>
      </w:r>
    </w:p>
    <w:p w14:paraId="04553200" w14:textId="77777777" w:rsidR="00492810" w:rsidRPr="00527E0F" w:rsidRDefault="00492810" w:rsidP="00CF0C1E">
      <w:pPr>
        <w:tabs>
          <w:tab w:val="left" w:pos="3915"/>
        </w:tabs>
        <w:rPr>
          <w:rFonts w:ascii="Century Gothic" w:hAnsi="Century Gothic"/>
          <w:color w:val="595959" w:themeColor="text1" w:themeTint="A6"/>
        </w:rPr>
      </w:pPr>
      <w:r w:rsidRPr="00527E0F">
        <w:rPr>
          <w:rFonts w:ascii="Century Gothic" w:hAnsi="Century Gothic"/>
          <w:color w:val="595959" w:themeColor="text1" w:themeTint="A6"/>
        </w:rPr>
        <w:t>Tema: Estadísticas de empresas</w:t>
      </w:r>
    </w:p>
    <w:p w14:paraId="536BDFDF" w14:textId="77777777" w:rsidR="00492810" w:rsidRDefault="00492810" w:rsidP="00CF0C1E">
      <w:pPr>
        <w:tabs>
          <w:tab w:val="left" w:pos="3915"/>
        </w:tabs>
        <w:rPr>
          <w:rFonts w:ascii="Century Gothic" w:hAnsi="Century Gothic"/>
          <w:color w:val="595959" w:themeColor="text1" w:themeTint="A6"/>
        </w:rPr>
      </w:pPr>
      <w:r w:rsidRPr="00527E0F">
        <w:rPr>
          <w:rFonts w:ascii="Century Gothic" w:hAnsi="Century Gothic"/>
          <w:color w:val="595959" w:themeColor="text1" w:themeTint="A6"/>
        </w:rPr>
        <w:t xml:space="preserve">Subtema: Empresas </w:t>
      </w:r>
    </w:p>
    <w:p w14:paraId="6C785EDA" w14:textId="77777777" w:rsidR="00492810" w:rsidRPr="00443329" w:rsidRDefault="00492810" w:rsidP="00492810">
      <w:pPr>
        <w:pStyle w:val="Sinespaciado"/>
        <w:rPr>
          <w:rFonts w:ascii="Century Gothic" w:hAnsi="Century Gothic"/>
          <w:sz w:val="24"/>
        </w:rPr>
      </w:pPr>
    </w:p>
    <w:p w14:paraId="60DBC02A"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Universo</w:t>
      </w:r>
      <w:bookmarkEnd w:id="93"/>
      <w:r w:rsidRPr="00AC2A17">
        <w:rPr>
          <w:rFonts w:ascii="Century Gothic" w:hAnsi="Century Gothic"/>
          <w:b/>
          <w:bCs/>
          <w:color w:val="505685"/>
          <w14:textFill>
            <w14:solidFill>
              <w14:srgbClr w14:val="505685">
                <w14:lumMod w14:val="65000"/>
                <w14:lumOff w14:val="35000"/>
              </w14:srgbClr>
            </w14:solidFill>
          </w14:textFill>
        </w:rPr>
        <w:t xml:space="preserve"> de estudio</w:t>
      </w:r>
    </w:p>
    <w:p w14:paraId="6967E58B" w14:textId="77777777" w:rsidR="00492810" w:rsidRPr="00527E0F" w:rsidRDefault="00492810" w:rsidP="00443329">
      <w:pPr>
        <w:tabs>
          <w:tab w:val="left" w:pos="3915"/>
        </w:tabs>
        <w:spacing w:before="240"/>
        <w:jc w:val="both"/>
        <w:rPr>
          <w:rFonts w:ascii="Century Gothic" w:hAnsi="Century Gothic"/>
          <w:color w:val="595959" w:themeColor="text1" w:themeTint="A6"/>
        </w:rPr>
      </w:pPr>
      <w:r w:rsidRPr="00527E0F">
        <w:rPr>
          <w:rFonts w:ascii="Century Gothic" w:hAnsi="Century Gothic"/>
          <w:color w:val="595959" w:themeColor="text1" w:themeTint="A6"/>
        </w:rPr>
        <w:t>El Directorio de Empresas y Establecimientos (DIEE) registra las empresas y establecimientos del sector formal de la economía, sean sociedades con o sin fines de lucro, personas naturales obligadas o no a llevar contabilidad e instituciones educativas públicas y fiscomisionales.</w:t>
      </w:r>
    </w:p>
    <w:p w14:paraId="51DE00FA" w14:textId="77777777" w:rsidR="00492810" w:rsidRPr="00443329" w:rsidRDefault="00492810" w:rsidP="00492810">
      <w:pPr>
        <w:pStyle w:val="Sinespaciado"/>
        <w:rPr>
          <w:rFonts w:ascii="Century Gothic" w:hAnsi="Century Gothic"/>
          <w:sz w:val="24"/>
        </w:rPr>
      </w:pPr>
    </w:p>
    <w:p w14:paraId="4CD85DD9"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bookmarkStart w:id="94" w:name="_Toc412998109"/>
      <w:bookmarkStart w:id="95" w:name="_Toc412998110"/>
      <w:r w:rsidRPr="00AC2A17">
        <w:rPr>
          <w:rFonts w:ascii="Century Gothic" w:hAnsi="Century Gothic"/>
          <w:b/>
          <w:bCs/>
          <w:color w:val="505685"/>
          <w14:textFill>
            <w14:solidFill>
              <w14:srgbClr w14:val="505685">
                <w14:lumMod w14:val="65000"/>
                <w14:lumOff w14:val="35000"/>
              </w14:srgbClr>
            </w14:solidFill>
          </w14:textFill>
        </w:rPr>
        <w:t>Población objetivo</w:t>
      </w:r>
      <w:bookmarkEnd w:id="94"/>
    </w:p>
    <w:p w14:paraId="23951E4F" w14:textId="6629CD38" w:rsidR="00492810" w:rsidRPr="00527E0F"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La población objetivo del DIEE está conformada por: a) personas naturales y jurídicas que posean un Registro Único del Contribuyente</w:t>
      </w:r>
      <w:r w:rsidR="007B1328">
        <w:rPr>
          <w:rFonts w:ascii="Century Gothic" w:hAnsi="Century Gothic"/>
          <w:color w:val="595959" w:themeColor="text1" w:themeTint="A6"/>
        </w:rPr>
        <w:t>s</w:t>
      </w:r>
      <w:r w:rsidRPr="00527E0F">
        <w:rPr>
          <w:rFonts w:ascii="Century Gothic" w:hAnsi="Century Gothic"/>
          <w:color w:val="595959" w:themeColor="text1" w:themeTint="A6"/>
        </w:rPr>
        <w:t xml:space="preserve"> (RUC) o código AMIE</w:t>
      </w:r>
      <w:r w:rsidRPr="00527E0F">
        <w:rPr>
          <w:rStyle w:val="Refdenotaalpie"/>
          <w:rFonts w:ascii="Century Gothic" w:hAnsi="Century Gothic"/>
          <w:color w:val="595959" w:themeColor="text1" w:themeTint="A6"/>
        </w:rPr>
        <w:footnoteReference w:id="6"/>
      </w:r>
      <w:r w:rsidRPr="00527E0F">
        <w:rPr>
          <w:rFonts w:ascii="Century Gothic" w:hAnsi="Century Gothic"/>
          <w:color w:val="595959" w:themeColor="text1" w:themeTint="A6"/>
        </w:rPr>
        <w:t xml:space="preserve"> (para el caso de instituciones educativas), que realizaron su declaración de ingresos por ventas y/o registraron personal afiliado medido en plazas de empleo durante el período de estudio, b) personas naturales sujetas al Régimen Impositivo Simplificado (RISE</w:t>
      </w:r>
      <w:r w:rsidRPr="00527E0F">
        <w:rPr>
          <w:rStyle w:val="Refdenotaalpie"/>
          <w:rFonts w:ascii="Century Gothic" w:hAnsi="Century Gothic"/>
          <w:color w:val="595959" w:themeColor="text1" w:themeTint="A6"/>
        </w:rPr>
        <w:footnoteReference w:id="7"/>
      </w:r>
      <w:r w:rsidRPr="00527E0F">
        <w:rPr>
          <w:rFonts w:ascii="Century Gothic" w:hAnsi="Century Gothic"/>
          <w:color w:val="595959" w:themeColor="text1" w:themeTint="A6"/>
        </w:rPr>
        <w:t>) que en el periodo de estudio registraron pagos bajo este régimen y; c) establecimientos de educación pública y fiscomisional básica y bachillerato del Ministerio de Educación.</w:t>
      </w:r>
    </w:p>
    <w:p w14:paraId="2AB87353" w14:textId="77777777" w:rsidR="00492810" w:rsidRDefault="00492810" w:rsidP="00CF0C1E">
      <w:pPr>
        <w:rPr>
          <w:rFonts w:ascii="Century Gothic" w:hAnsi="Century Gothic"/>
          <w:color w:val="595959" w:themeColor="text1" w:themeTint="A6"/>
        </w:rPr>
      </w:pPr>
    </w:p>
    <w:p w14:paraId="208D5F66"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bookmarkStart w:id="96" w:name="_Toc412998111"/>
      <w:bookmarkEnd w:id="95"/>
      <w:r w:rsidRPr="00AC2A17">
        <w:rPr>
          <w:rFonts w:ascii="Century Gothic" w:hAnsi="Century Gothic"/>
          <w:b/>
          <w:bCs/>
          <w:color w:val="505685"/>
          <w14:textFill>
            <w14:solidFill>
              <w14:srgbClr w14:val="505685">
                <w14:lumMod w14:val="65000"/>
                <w14:lumOff w14:val="35000"/>
              </w14:srgbClr>
            </w14:solidFill>
          </w14:textFill>
        </w:rPr>
        <w:t>Unidad de observación y unidad de análisis</w:t>
      </w:r>
    </w:p>
    <w:p w14:paraId="6A91A0F2" w14:textId="77777777" w:rsidR="00492810" w:rsidRPr="00527E0F" w:rsidRDefault="00492810" w:rsidP="00443329">
      <w:pPr>
        <w:spacing w:before="240"/>
        <w:jc w:val="both"/>
        <w:rPr>
          <w:rFonts w:ascii="Century Gothic" w:hAnsi="Century Gothic"/>
          <w:color w:val="595959" w:themeColor="text1" w:themeTint="A6"/>
        </w:rPr>
      </w:pPr>
      <w:bookmarkStart w:id="97" w:name="_Toc412998113"/>
      <w:r w:rsidRPr="00527E0F">
        <w:rPr>
          <w:rFonts w:ascii="Century Gothic" w:hAnsi="Century Gothic"/>
          <w:color w:val="595959" w:themeColor="text1" w:themeTint="A6"/>
        </w:rPr>
        <w:t xml:space="preserve">Las unidades de observación y análisis son las unidades económicas constituidas legalmente en el país que realizan actividades lícitas sean estas de mercado o no. Estas unidades son: </w:t>
      </w:r>
    </w:p>
    <w:p w14:paraId="6FD85C65" w14:textId="77777777" w:rsidR="00492810" w:rsidRPr="00443329" w:rsidRDefault="00492810" w:rsidP="00443329">
      <w:pPr>
        <w:pStyle w:val="Prrafodelista"/>
        <w:tabs>
          <w:tab w:val="left" w:pos="709"/>
        </w:tabs>
        <w:spacing w:after="0"/>
        <w:ind w:left="709"/>
        <w:rPr>
          <w:rFonts w:ascii="Century Gothic" w:hAnsi="Century Gothic"/>
          <w:color w:val="595959" w:themeColor="text1" w:themeTint="A6"/>
          <w:sz w:val="24"/>
        </w:rPr>
      </w:pPr>
    </w:p>
    <w:p w14:paraId="5A5D91E4" w14:textId="77777777" w:rsidR="00492810" w:rsidRPr="00443329" w:rsidRDefault="00492810" w:rsidP="00443329">
      <w:pPr>
        <w:pStyle w:val="Prrafodelista"/>
        <w:numPr>
          <w:ilvl w:val="0"/>
          <w:numId w:val="4"/>
        </w:numPr>
        <w:tabs>
          <w:tab w:val="left" w:pos="709"/>
        </w:tabs>
        <w:spacing w:after="0"/>
        <w:ind w:left="709" w:hanging="283"/>
        <w:rPr>
          <w:rFonts w:ascii="Century Gothic" w:hAnsi="Century Gothic"/>
          <w:color w:val="595959" w:themeColor="text1" w:themeTint="A6"/>
          <w:sz w:val="24"/>
        </w:rPr>
      </w:pPr>
      <w:r w:rsidRPr="00443329">
        <w:rPr>
          <w:rFonts w:ascii="Century Gothic" w:hAnsi="Century Gothic"/>
          <w:color w:val="595959" w:themeColor="text1" w:themeTint="A6"/>
          <w:sz w:val="24"/>
        </w:rPr>
        <w:t>Unidades de mercado: sociedades cuasi-sociedades y empresas de mercado, así como sus establecimientos</w:t>
      </w:r>
    </w:p>
    <w:p w14:paraId="52B2B3C4" w14:textId="77777777" w:rsidR="00492810" w:rsidRPr="00443329" w:rsidRDefault="00492810" w:rsidP="00443329">
      <w:pPr>
        <w:pStyle w:val="Prrafodelista"/>
        <w:numPr>
          <w:ilvl w:val="0"/>
          <w:numId w:val="4"/>
        </w:numPr>
        <w:tabs>
          <w:tab w:val="left" w:pos="709"/>
        </w:tabs>
        <w:spacing w:after="0"/>
        <w:ind w:left="709" w:hanging="283"/>
        <w:rPr>
          <w:rFonts w:ascii="Century Gothic" w:hAnsi="Century Gothic"/>
          <w:color w:val="595959" w:themeColor="text1" w:themeTint="A6"/>
          <w:sz w:val="24"/>
        </w:rPr>
      </w:pPr>
      <w:r w:rsidRPr="00443329">
        <w:rPr>
          <w:rFonts w:ascii="Century Gothic" w:hAnsi="Century Gothic"/>
          <w:color w:val="595959" w:themeColor="text1" w:themeTint="A6"/>
          <w:sz w:val="24"/>
        </w:rPr>
        <w:t>Unidades no de mercado: administración pública e instituciones sin fines de lucro</w:t>
      </w:r>
    </w:p>
    <w:bookmarkEnd w:id="97"/>
    <w:p w14:paraId="2CA73B2C" w14:textId="77777777" w:rsidR="00492810" w:rsidRPr="00443329" w:rsidRDefault="00492810" w:rsidP="00492810">
      <w:pPr>
        <w:pStyle w:val="Sinespaciado"/>
        <w:tabs>
          <w:tab w:val="left" w:pos="709"/>
        </w:tabs>
        <w:ind w:left="709" w:hanging="283"/>
        <w:rPr>
          <w:rFonts w:ascii="Century Gothic" w:hAnsi="Century Gothic"/>
          <w:b/>
          <w:color w:val="595959" w:themeColor="text1" w:themeTint="A6"/>
          <w:sz w:val="24"/>
        </w:rPr>
      </w:pPr>
    </w:p>
    <w:p w14:paraId="2695E013"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Cobertura geográfica</w:t>
      </w:r>
      <w:bookmarkEnd w:id="96"/>
    </w:p>
    <w:p w14:paraId="5EC2119E" w14:textId="77777777" w:rsidR="00492810" w:rsidRPr="00527E0F" w:rsidRDefault="00492810" w:rsidP="00443329">
      <w:pPr>
        <w:spacing w:before="240"/>
        <w:jc w:val="both"/>
        <w:rPr>
          <w:rFonts w:ascii="Century Gothic" w:hAnsi="Century Gothic"/>
          <w:color w:val="595959" w:themeColor="text1" w:themeTint="A6"/>
        </w:rPr>
      </w:pPr>
      <w:bookmarkStart w:id="98" w:name="_Toc412998112"/>
      <w:r w:rsidRPr="00527E0F">
        <w:rPr>
          <w:rFonts w:ascii="Century Gothic" w:hAnsi="Century Gothic"/>
          <w:color w:val="595959" w:themeColor="text1" w:themeTint="A6"/>
        </w:rPr>
        <w:t>El Directorio de Empresas y Establecimientos (DIEE) posee una cobertura a nivel nacional que puede ser desagregada a nivel provincial, cantonal y parroquial</w:t>
      </w:r>
      <w:r w:rsidRPr="00527E0F">
        <w:rPr>
          <w:rStyle w:val="Refdenotaalpie"/>
          <w:rFonts w:ascii="Century Gothic" w:hAnsi="Century Gothic"/>
          <w:color w:val="595959" w:themeColor="text1" w:themeTint="A6"/>
        </w:rPr>
        <w:footnoteReference w:id="8"/>
      </w:r>
      <w:r w:rsidRPr="00527E0F">
        <w:rPr>
          <w:rFonts w:ascii="Century Gothic" w:hAnsi="Century Gothic"/>
          <w:color w:val="595959" w:themeColor="text1" w:themeTint="A6"/>
        </w:rPr>
        <w:t>.</w:t>
      </w:r>
    </w:p>
    <w:p w14:paraId="562AB6A2" w14:textId="77777777" w:rsidR="00492810" w:rsidRPr="00527E0F" w:rsidRDefault="00492810" w:rsidP="00443329">
      <w:pPr>
        <w:jc w:val="both"/>
        <w:rPr>
          <w:rFonts w:ascii="Century Gothic" w:hAnsi="Century Gothic"/>
          <w:color w:val="595959" w:themeColor="text1" w:themeTint="A6"/>
        </w:rPr>
      </w:pPr>
    </w:p>
    <w:p w14:paraId="3FAD55B2" w14:textId="77777777" w:rsidR="00492810" w:rsidRPr="00527E0F"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A nivel de parroquia, la información que presenta el DIEE corresponde a parroquias rurales y de cabeceras cantonales, es decir, no cuenta con una desagregación a nivel de parroquias urbanas debido a que existe diferencias en la codificación entre las distintas fuentes que alimentan el directorio, diferencias que responden principalmente al uso de codificaciones desactualizadas. Por tal motivo, las parroquias urbanas se agrupan a nivel de cabecera cantonal.</w:t>
      </w:r>
    </w:p>
    <w:p w14:paraId="77BD5644" w14:textId="77777777" w:rsidR="00492810" w:rsidRPr="00443329" w:rsidRDefault="00492810" w:rsidP="00443329">
      <w:pPr>
        <w:pStyle w:val="Sinespaciado"/>
        <w:jc w:val="both"/>
        <w:rPr>
          <w:rFonts w:ascii="Century Gothic" w:hAnsi="Century Gothic"/>
          <w:b/>
          <w:color w:val="595959" w:themeColor="text1" w:themeTint="A6"/>
          <w:sz w:val="24"/>
        </w:rPr>
      </w:pPr>
      <w:bookmarkStart w:id="99" w:name="_Toc412998114"/>
      <w:bookmarkEnd w:id="98"/>
    </w:p>
    <w:p w14:paraId="35A36F48"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Desagregación de la información</w:t>
      </w:r>
    </w:p>
    <w:p w14:paraId="59F0EB4E" w14:textId="77777777" w:rsidR="00492810" w:rsidRPr="00527E0F"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 xml:space="preserve">Los niveles de desagregación que existen en el Directorio de Empresas y Establecimientos son los siguientes: actividad y sector económico, áreas geográficas y tipología de establecimiento. </w:t>
      </w:r>
    </w:p>
    <w:p w14:paraId="0A7FFA7D" w14:textId="77777777" w:rsidR="00492810" w:rsidRPr="00443329" w:rsidRDefault="00492810" w:rsidP="00443329">
      <w:pPr>
        <w:pStyle w:val="Sinespaciado"/>
        <w:jc w:val="both"/>
        <w:rPr>
          <w:rFonts w:ascii="Century Gothic" w:hAnsi="Century Gothic"/>
          <w:b/>
          <w:color w:val="595959" w:themeColor="text1" w:themeTint="A6"/>
          <w:sz w:val="24"/>
        </w:rPr>
      </w:pPr>
    </w:p>
    <w:p w14:paraId="6AB93725" w14:textId="77777777" w:rsidR="00492810" w:rsidRPr="00AC2A17" w:rsidRDefault="00492810" w:rsidP="00AC2A17">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AC2A17">
        <w:rPr>
          <w:rFonts w:ascii="Century Gothic" w:hAnsi="Century Gothic"/>
          <w:b/>
          <w:bCs/>
          <w:color w:val="505685"/>
          <w14:textFill>
            <w14:solidFill>
              <w14:srgbClr w14:val="505685">
                <w14:lumMod w14:val="65000"/>
                <w14:lumOff w14:val="35000"/>
              </w14:srgbClr>
            </w14:solidFill>
          </w14:textFill>
        </w:rPr>
        <w:t>Periodicidad y continuidad</w:t>
      </w:r>
      <w:bookmarkEnd w:id="99"/>
    </w:p>
    <w:p w14:paraId="5E8566F3" w14:textId="77777777" w:rsidR="00492810" w:rsidRPr="00527E0F" w:rsidRDefault="00492810" w:rsidP="00443329">
      <w:pPr>
        <w:jc w:val="both"/>
        <w:rPr>
          <w:rFonts w:ascii="Century Gothic" w:hAnsi="Century Gothic"/>
          <w:color w:val="595959" w:themeColor="text1" w:themeTint="A6"/>
        </w:rPr>
      </w:pPr>
    </w:p>
    <w:p w14:paraId="3ECB5052" w14:textId="4E7D9C5F"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El Directorio de Empresas y Establecimientos se publica anualmente con información de referencia de un año anterior, dado que insume las declaraciones de impuestos gravados sobre los ingresos (declaración del año fiscal) que realizan los contribuyentes, además de los continuos procesos de validación; dispone actualmente de una seri</w:t>
      </w:r>
      <w:r w:rsidR="00D8328C">
        <w:rPr>
          <w:rFonts w:ascii="Century Gothic" w:hAnsi="Century Gothic"/>
          <w:color w:val="595959" w:themeColor="text1" w:themeTint="A6"/>
        </w:rPr>
        <w:t>e histórica desde 2012 hasta 202</w:t>
      </w:r>
      <w:r w:rsidR="00B8285E">
        <w:rPr>
          <w:rFonts w:ascii="Century Gothic" w:hAnsi="Century Gothic"/>
          <w:color w:val="595959" w:themeColor="text1" w:themeTint="A6"/>
        </w:rPr>
        <w:t>1</w:t>
      </w:r>
      <w:r w:rsidRPr="00527E0F">
        <w:rPr>
          <w:rFonts w:ascii="Century Gothic" w:hAnsi="Century Gothic"/>
          <w:color w:val="595959" w:themeColor="text1" w:themeTint="A6"/>
        </w:rPr>
        <w:t xml:space="preserve">; cada nueva versión que se construye, almacena información de los periodos anteriores. </w:t>
      </w:r>
    </w:p>
    <w:p w14:paraId="18D51DAD" w14:textId="77777777" w:rsidR="009B7728" w:rsidRPr="00527E0F" w:rsidRDefault="009B7728" w:rsidP="00492810">
      <w:pPr>
        <w:rPr>
          <w:rFonts w:ascii="Century Gothic" w:hAnsi="Century Gothic"/>
          <w:color w:val="595959" w:themeColor="text1" w:themeTint="A6"/>
        </w:rPr>
      </w:pPr>
    </w:p>
    <w:p w14:paraId="42E03F0E" w14:textId="77777777" w:rsidR="00492810" w:rsidRPr="00176DC8" w:rsidRDefault="00492810" w:rsidP="00443329">
      <w:pPr>
        <w:pStyle w:val="SUBTITULOINEC"/>
        <w:numPr>
          <w:ilvl w:val="1"/>
          <w:numId w:val="33"/>
        </w:numPr>
        <w:jc w:val="both"/>
        <w:rPr>
          <w:sz w:val="32"/>
          <w:szCs w:val="32"/>
        </w:rPr>
      </w:pPr>
      <w:bookmarkStart w:id="100" w:name="_Toc53757419"/>
      <w:bookmarkStart w:id="101" w:name="_Toc412998115"/>
      <w:r w:rsidRPr="00176DC8">
        <w:rPr>
          <w:sz w:val="32"/>
          <w:szCs w:val="32"/>
        </w:rPr>
        <w:t>Marco conceptual y metodológico</w:t>
      </w:r>
      <w:bookmarkEnd w:id="100"/>
      <w:r w:rsidRPr="00176DC8">
        <w:rPr>
          <w:sz w:val="32"/>
          <w:szCs w:val="32"/>
        </w:rPr>
        <w:t xml:space="preserve"> </w:t>
      </w:r>
      <w:bookmarkEnd w:id="101"/>
    </w:p>
    <w:p w14:paraId="2FDFC152" w14:textId="77777777" w:rsidR="00492810" w:rsidRPr="00527E0F" w:rsidRDefault="00492810" w:rsidP="00CF0C1E">
      <w:pPr>
        <w:rPr>
          <w:rFonts w:ascii="Century Gothic" w:hAnsi="Century Gothic"/>
          <w:color w:val="595959" w:themeColor="text1" w:themeTint="A6"/>
          <w:lang w:eastAsia="es-EC"/>
        </w:rPr>
      </w:pPr>
    </w:p>
    <w:p w14:paraId="36083A56" w14:textId="77777777" w:rsidR="00492810" w:rsidRPr="00443329" w:rsidRDefault="00492810" w:rsidP="003C20C6">
      <w:pPr>
        <w:pStyle w:val="Prrafodelista"/>
        <w:keepNext/>
        <w:keepLines/>
        <w:numPr>
          <w:ilvl w:val="0"/>
          <w:numId w:val="3"/>
        </w:numPr>
        <w:spacing w:after="0" w:line="240" w:lineRule="auto"/>
        <w:contextualSpacing w:val="0"/>
        <w:outlineLvl w:val="1"/>
        <w:rPr>
          <w:rFonts w:ascii="Century Gothic" w:hAnsi="Century Gothic"/>
          <w:b/>
          <w:vanish/>
          <w:color w:val="595959" w:themeColor="text1" w:themeTint="A6"/>
          <w:sz w:val="24"/>
        </w:rPr>
      </w:pPr>
      <w:bookmarkStart w:id="102" w:name="_Toc527493517"/>
      <w:bookmarkStart w:id="103" w:name="_Toc527493588"/>
      <w:bookmarkStart w:id="104" w:name="_Toc527710052"/>
      <w:bookmarkStart w:id="105" w:name="_Toc527971962"/>
      <w:bookmarkStart w:id="106" w:name="_Toc527972021"/>
      <w:bookmarkStart w:id="107" w:name="_Toc527972858"/>
      <w:bookmarkStart w:id="108" w:name="_Toc527972924"/>
      <w:bookmarkStart w:id="109" w:name="_Toc527973847"/>
      <w:bookmarkStart w:id="110" w:name="_Toc21540811"/>
      <w:bookmarkStart w:id="111" w:name="_Toc21960908"/>
      <w:bookmarkStart w:id="112" w:name="_Toc25920710"/>
      <w:bookmarkStart w:id="113" w:name="_Toc53757420"/>
      <w:bookmarkStart w:id="114" w:name="_Toc412998116"/>
      <w:bookmarkEnd w:id="102"/>
      <w:bookmarkEnd w:id="103"/>
      <w:bookmarkEnd w:id="104"/>
      <w:bookmarkEnd w:id="105"/>
      <w:bookmarkEnd w:id="106"/>
      <w:bookmarkEnd w:id="107"/>
      <w:bookmarkEnd w:id="108"/>
      <w:bookmarkEnd w:id="109"/>
      <w:bookmarkEnd w:id="110"/>
      <w:bookmarkEnd w:id="111"/>
      <w:bookmarkEnd w:id="112"/>
      <w:bookmarkEnd w:id="113"/>
    </w:p>
    <w:p w14:paraId="74B2BD05" w14:textId="77777777" w:rsidR="00492810" w:rsidRPr="00443329" w:rsidRDefault="00492810" w:rsidP="003C20C6">
      <w:pPr>
        <w:pStyle w:val="Prrafodelista"/>
        <w:keepNext/>
        <w:keepLines/>
        <w:numPr>
          <w:ilvl w:val="1"/>
          <w:numId w:val="3"/>
        </w:numPr>
        <w:spacing w:after="0" w:line="240" w:lineRule="auto"/>
        <w:contextualSpacing w:val="0"/>
        <w:outlineLvl w:val="1"/>
        <w:rPr>
          <w:rFonts w:ascii="Century Gothic" w:hAnsi="Century Gothic"/>
          <w:b/>
          <w:vanish/>
          <w:color w:val="595959" w:themeColor="text1" w:themeTint="A6"/>
          <w:sz w:val="24"/>
        </w:rPr>
      </w:pPr>
      <w:bookmarkStart w:id="115" w:name="_Toc527493518"/>
      <w:bookmarkStart w:id="116" w:name="_Toc527493589"/>
      <w:bookmarkStart w:id="117" w:name="_Toc527710053"/>
      <w:bookmarkStart w:id="118" w:name="_Toc527971963"/>
      <w:bookmarkStart w:id="119" w:name="_Toc527972022"/>
      <w:bookmarkStart w:id="120" w:name="_Toc527972859"/>
      <w:bookmarkStart w:id="121" w:name="_Toc527972925"/>
      <w:bookmarkStart w:id="122" w:name="_Toc527973848"/>
      <w:bookmarkStart w:id="123" w:name="_Toc21540812"/>
      <w:bookmarkStart w:id="124" w:name="_Toc21960909"/>
      <w:bookmarkStart w:id="125" w:name="_Toc25920711"/>
      <w:bookmarkStart w:id="126" w:name="_Toc53757421"/>
      <w:bookmarkEnd w:id="115"/>
      <w:bookmarkEnd w:id="116"/>
      <w:bookmarkEnd w:id="117"/>
      <w:bookmarkEnd w:id="118"/>
      <w:bookmarkEnd w:id="119"/>
      <w:bookmarkEnd w:id="120"/>
      <w:bookmarkEnd w:id="121"/>
      <w:bookmarkEnd w:id="122"/>
      <w:bookmarkEnd w:id="123"/>
      <w:bookmarkEnd w:id="124"/>
      <w:bookmarkEnd w:id="125"/>
      <w:bookmarkEnd w:id="126"/>
    </w:p>
    <w:p w14:paraId="080A6979" w14:textId="77777777" w:rsidR="00492810" w:rsidRPr="00443329" w:rsidRDefault="00492810" w:rsidP="003C20C6">
      <w:pPr>
        <w:pStyle w:val="Prrafodelista"/>
        <w:keepNext/>
        <w:keepLines/>
        <w:numPr>
          <w:ilvl w:val="1"/>
          <w:numId w:val="3"/>
        </w:numPr>
        <w:spacing w:after="0" w:line="240" w:lineRule="auto"/>
        <w:contextualSpacing w:val="0"/>
        <w:outlineLvl w:val="1"/>
        <w:rPr>
          <w:rFonts w:ascii="Century Gothic" w:hAnsi="Century Gothic"/>
          <w:b/>
          <w:vanish/>
          <w:color w:val="595959" w:themeColor="text1" w:themeTint="A6"/>
          <w:sz w:val="24"/>
        </w:rPr>
      </w:pPr>
      <w:bookmarkStart w:id="127" w:name="_Toc527493519"/>
      <w:bookmarkStart w:id="128" w:name="_Toc527493590"/>
      <w:bookmarkStart w:id="129" w:name="_Toc527710054"/>
      <w:bookmarkStart w:id="130" w:name="_Toc527971964"/>
      <w:bookmarkStart w:id="131" w:name="_Toc527972023"/>
      <w:bookmarkStart w:id="132" w:name="_Toc527972860"/>
      <w:bookmarkStart w:id="133" w:name="_Toc527972926"/>
      <w:bookmarkStart w:id="134" w:name="_Toc527973849"/>
      <w:bookmarkStart w:id="135" w:name="_Toc21540813"/>
      <w:bookmarkStart w:id="136" w:name="_Toc21960910"/>
      <w:bookmarkStart w:id="137" w:name="_Toc25920712"/>
      <w:bookmarkStart w:id="138" w:name="_Toc53757422"/>
      <w:bookmarkEnd w:id="127"/>
      <w:bookmarkEnd w:id="128"/>
      <w:bookmarkEnd w:id="129"/>
      <w:bookmarkEnd w:id="130"/>
      <w:bookmarkEnd w:id="131"/>
      <w:bookmarkEnd w:id="132"/>
      <w:bookmarkEnd w:id="133"/>
      <w:bookmarkEnd w:id="134"/>
      <w:bookmarkEnd w:id="135"/>
      <w:bookmarkEnd w:id="136"/>
      <w:bookmarkEnd w:id="137"/>
      <w:bookmarkEnd w:id="138"/>
    </w:p>
    <w:p w14:paraId="127CF5CA" w14:textId="77777777" w:rsidR="00492810" w:rsidRPr="00443329" w:rsidRDefault="00492810" w:rsidP="003C20C6">
      <w:pPr>
        <w:pStyle w:val="Prrafodelista"/>
        <w:keepNext/>
        <w:keepLines/>
        <w:numPr>
          <w:ilvl w:val="1"/>
          <w:numId w:val="3"/>
        </w:numPr>
        <w:spacing w:after="0" w:line="240" w:lineRule="auto"/>
        <w:contextualSpacing w:val="0"/>
        <w:outlineLvl w:val="1"/>
        <w:rPr>
          <w:rFonts w:ascii="Century Gothic" w:hAnsi="Century Gothic"/>
          <w:b/>
          <w:vanish/>
          <w:color w:val="595959" w:themeColor="text1" w:themeTint="A6"/>
          <w:sz w:val="24"/>
        </w:rPr>
      </w:pPr>
      <w:bookmarkStart w:id="139" w:name="_Toc527493520"/>
      <w:bookmarkStart w:id="140" w:name="_Toc527493591"/>
      <w:bookmarkStart w:id="141" w:name="_Toc527710055"/>
      <w:bookmarkStart w:id="142" w:name="_Toc527971965"/>
      <w:bookmarkStart w:id="143" w:name="_Toc527972024"/>
      <w:bookmarkStart w:id="144" w:name="_Toc527972861"/>
      <w:bookmarkStart w:id="145" w:name="_Toc527972927"/>
      <w:bookmarkStart w:id="146" w:name="_Toc527973850"/>
      <w:bookmarkStart w:id="147" w:name="_Toc21540814"/>
      <w:bookmarkStart w:id="148" w:name="_Toc21960911"/>
      <w:bookmarkStart w:id="149" w:name="_Toc25920713"/>
      <w:bookmarkStart w:id="150" w:name="_Toc53757423"/>
      <w:bookmarkEnd w:id="139"/>
      <w:bookmarkEnd w:id="140"/>
      <w:bookmarkEnd w:id="141"/>
      <w:bookmarkEnd w:id="142"/>
      <w:bookmarkEnd w:id="143"/>
      <w:bookmarkEnd w:id="144"/>
      <w:bookmarkEnd w:id="145"/>
      <w:bookmarkEnd w:id="146"/>
      <w:bookmarkEnd w:id="147"/>
      <w:bookmarkEnd w:id="148"/>
      <w:bookmarkEnd w:id="149"/>
      <w:bookmarkEnd w:id="150"/>
    </w:p>
    <w:p w14:paraId="5EEE0E03" w14:textId="77777777" w:rsidR="00492810" w:rsidRPr="00176DC8" w:rsidRDefault="009B7728" w:rsidP="00ED1B54">
      <w:pPr>
        <w:pStyle w:val="SUBTITULOINEC"/>
        <w:ind w:left="708"/>
        <w:jc w:val="left"/>
        <w:rPr>
          <w:sz w:val="32"/>
          <w:szCs w:val="32"/>
        </w:rPr>
      </w:pPr>
      <w:bookmarkStart w:id="151" w:name="_Toc53757424"/>
      <w:bookmarkEnd w:id="114"/>
      <w:r w:rsidRPr="00176DC8">
        <w:rPr>
          <w:sz w:val="32"/>
          <w:szCs w:val="32"/>
        </w:rPr>
        <w:t xml:space="preserve">1.3.1 Referentes o </w:t>
      </w:r>
      <w:r w:rsidR="00492810" w:rsidRPr="00176DC8">
        <w:rPr>
          <w:sz w:val="32"/>
          <w:szCs w:val="32"/>
        </w:rPr>
        <w:t>recomendaciones internacionales</w:t>
      </w:r>
      <w:bookmarkEnd w:id="151"/>
    </w:p>
    <w:p w14:paraId="6D9C7BCD" w14:textId="77777777" w:rsidR="00492810" w:rsidRPr="00527E0F" w:rsidRDefault="00492810" w:rsidP="00CF0C1E">
      <w:pPr>
        <w:tabs>
          <w:tab w:val="left" w:pos="993"/>
        </w:tabs>
        <w:ind w:left="426"/>
        <w:rPr>
          <w:rFonts w:ascii="Century Gothic" w:hAnsi="Century Gothic"/>
          <w:color w:val="595959" w:themeColor="text1" w:themeTint="A6"/>
        </w:rPr>
      </w:pPr>
    </w:p>
    <w:p w14:paraId="27466B33" w14:textId="3D797A9B" w:rsidR="00492810" w:rsidRDefault="00492810" w:rsidP="009B7728">
      <w:pPr>
        <w:jc w:val="both"/>
        <w:rPr>
          <w:rFonts w:ascii="Century Gothic" w:hAnsi="Century Gothic"/>
          <w:color w:val="595959" w:themeColor="text1" w:themeTint="A6"/>
        </w:rPr>
      </w:pPr>
      <w:r w:rsidRPr="00527E0F">
        <w:rPr>
          <w:rFonts w:ascii="Century Gothic" w:hAnsi="Century Gothic"/>
          <w:color w:val="595959" w:themeColor="text1" w:themeTint="A6"/>
        </w:rPr>
        <w:t xml:space="preserve">La importancia que ha cobrado el uso de registros administrativos como fuente de datos para fines </w:t>
      </w:r>
      <w:r w:rsidR="003D53BE" w:rsidRPr="00527E0F">
        <w:rPr>
          <w:rFonts w:ascii="Century Gothic" w:hAnsi="Century Gothic"/>
          <w:color w:val="595959" w:themeColor="text1" w:themeTint="A6"/>
        </w:rPr>
        <w:t>estadísticos</w:t>
      </w:r>
      <w:r w:rsidRPr="00527E0F">
        <w:rPr>
          <w:rFonts w:ascii="Century Gothic" w:hAnsi="Century Gothic"/>
          <w:color w:val="595959" w:themeColor="text1" w:themeTint="A6"/>
        </w:rPr>
        <w:t xml:space="preserve"> se refleja en los esfuerzos de las Oficinas de Estadística de los diferentes países por incorporarlos en sus estadísticas oficiales, pues permiten generar información en períodos inter censales, así como optimizar recursos, evitar duplicar esfuerzos en la recolección de información y reducir la carga de respuesta de los informantes.</w:t>
      </w:r>
    </w:p>
    <w:p w14:paraId="0434D38D" w14:textId="77777777" w:rsidR="00CF0C1E" w:rsidRPr="00527E0F" w:rsidRDefault="00CF0C1E" w:rsidP="00CF0C1E">
      <w:pPr>
        <w:jc w:val="both"/>
        <w:rPr>
          <w:rFonts w:ascii="Century Gothic" w:hAnsi="Century Gothic"/>
          <w:color w:val="595959" w:themeColor="text1" w:themeTint="A6"/>
        </w:rPr>
      </w:pPr>
    </w:p>
    <w:p w14:paraId="538B4397" w14:textId="0BF31B3F" w:rsidR="00492810" w:rsidRDefault="00492810" w:rsidP="009B7728">
      <w:pPr>
        <w:jc w:val="both"/>
        <w:rPr>
          <w:rFonts w:ascii="Century Gothic" w:hAnsi="Century Gothic"/>
          <w:color w:val="595959" w:themeColor="text1" w:themeTint="A6"/>
        </w:rPr>
      </w:pPr>
      <w:r w:rsidRPr="00527E0F">
        <w:rPr>
          <w:rFonts w:ascii="Century Gothic" w:hAnsi="Century Gothic"/>
          <w:color w:val="595959" w:themeColor="text1" w:themeTint="A6"/>
        </w:rPr>
        <w:t>La segunda reunión de la Conferencia Estadística de las Américas organizada por la Comisión Económica para América Latina y el Caribe (CEPAL), desarrollada en Santiago de Chile en junio de 2003, impulsó entre otros temas, el debate del uso de registros administrativos como fuente primaria de información y su utilización para la elaboración de directorios en los países de la región. De esta manera, aprovechar los registros que las instituciones elaboran a fin de llevar un control sobre determinadas actividades propias de su quehacer institucional, puede contribuir a la generación de estadísticas oportunas que permitan tomar decisiones de política pública.</w:t>
      </w:r>
    </w:p>
    <w:p w14:paraId="086900B4" w14:textId="77777777" w:rsidR="00CF0C1E" w:rsidRPr="00527E0F" w:rsidRDefault="00CF0C1E" w:rsidP="00CF0C1E">
      <w:pPr>
        <w:jc w:val="both"/>
        <w:rPr>
          <w:rFonts w:ascii="Century Gothic" w:hAnsi="Century Gothic"/>
          <w:color w:val="595959" w:themeColor="text1" w:themeTint="A6"/>
        </w:rPr>
      </w:pPr>
    </w:p>
    <w:p w14:paraId="20ACDD50" w14:textId="77777777" w:rsidR="00492810" w:rsidRPr="00527E0F"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 xml:space="preserve">En esta Conferencia se definió a un registro administrativo como “un registro resultante de necesidades fiscales, tributarias u otras, creado con la finalidad de viabilizar la administración de los programas de gobierno o para fiscalizar el cumplimiento de obligaciones legales de la sociedad” </w:t>
      </w:r>
      <w:sdt>
        <w:sdtPr>
          <w:rPr>
            <w:rFonts w:ascii="Century Gothic" w:hAnsi="Century Gothic"/>
            <w:color w:val="595959" w:themeColor="text1" w:themeTint="A6"/>
          </w:rPr>
          <w:id w:val="-676805894"/>
          <w:citation/>
        </w:sdtPr>
        <w:sdtEndPr/>
        <w:sdtContent>
          <w:r w:rsidRPr="00527E0F">
            <w:rPr>
              <w:rFonts w:ascii="Century Gothic" w:hAnsi="Century Gothic"/>
              <w:color w:val="595959" w:themeColor="text1" w:themeTint="A6"/>
            </w:rPr>
            <w:fldChar w:fldCharType="begin"/>
          </w:r>
          <w:r w:rsidRPr="00527E0F">
            <w:rPr>
              <w:rFonts w:ascii="Century Gothic" w:hAnsi="Century Gothic"/>
              <w:color w:val="595959" w:themeColor="text1" w:themeTint="A6"/>
            </w:rPr>
            <w:instrText xml:space="preserve"> CITATION Ech03 \l 12298 </w:instrText>
          </w:r>
          <w:r w:rsidRPr="00527E0F">
            <w:rPr>
              <w:rFonts w:ascii="Century Gothic" w:hAnsi="Century Gothic"/>
              <w:color w:val="595959" w:themeColor="text1" w:themeTint="A6"/>
            </w:rPr>
            <w:fldChar w:fldCharType="separate"/>
          </w:r>
          <w:r w:rsidRPr="00527E0F">
            <w:rPr>
              <w:rFonts w:ascii="Century Gothic" w:hAnsi="Century Gothic"/>
              <w:color w:val="595959" w:themeColor="text1" w:themeTint="A6"/>
            </w:rPr>
            <w:t>(Echegoyen, 2003)</w:t>
          </w:r>
          <w:r w:rsidRPr="00527E0F">
            <w:rPr>
              <w:rFonts w:ascii="Century Gothic" w:hAnsi="Century Gothic"/>
              <w:color w:val="595959" w:themeColor="text1" w:themeTint="A6"/>
            </w:rPr>
            <w:fldChar w:fldCharType="end"/>
          </w:r>
        </w:sdtContent>
      </w:sdt>
      <w:r w:rsidRPr="00527E0F">
        <w:rPr>
          <w:rFonts w:ascii="Century Gothic" w:hAnsi="Century Gothic"/>
          <w:color w:val="595959" w:themeColor="text1" w:themeTint="A6"/>
        </w:rPr>
        <w:t>.</w:t>
      </w:r>
    </w:p>
    <w:p w14:paraId="22B2F74B"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Generalmente, para los institutos de estadística, los registros administrativos que pueden aportar de manera significativa a la generación de estadísticas económicas, especialmente por la magnitud de información que recopilan, son los que custodian la administración tributaria. Pero también son relevantes los registros levantados en la seguridad social, salud, educación, o las oficinas de registro civil. </w:t>
      </w:r>
    </w:p>
    <w:p w14:paraId="46C5B8AF" w14:textId="77777777" w:rsidR="00492810" w:rsidRPr="00527E0F" w:rsidRDefault="00492810" w:rsidP="00443329">
      <w:pPr>
        <w:tabs>
          <w:tab w:val="left" w:pos="993"/>
        </w:tabs>
        <w:jc w:val="both"/>
        <w:rPr>
          <w:rFonts w:ascii="Century Gothic" w:hAnsi="Century Gothic"/>
          <w:color w:val="595959" w:themeColor="text1" w:themeTint="A6"/>
        </w:rPr>
      </w:pPr>
    </w:p>
    <w:p w14:paraId="2A4AF382" w14:textId="77777777"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 xml:space="preserve">A nivel general, las ventajas que se ha identificado para el aprovechamiento de registros administrativos, particularmente en la generación de directorios de empresas son las siguientes </w:t>
      </w:r>
      <w:sdt>
        <w:sdtPr>
          <w:rPr>
            <w:rFonts w:ascii="Century Gothic" w:hAnsi="Century Gothic"/>
          </w:rPr>
          <w:id w:val="-313728811"/>
          <w:citation/>
        </w:sdtPr>
        <w:sdtEndPr/>
        <w:sdtContent>
          <w:r w:rsidRPr="00527E0F">
            <w:rPr>
              <w:rFonts w:ascii="Century Gothic" w:hAnsi="Century Gothic"/>
              <w:color w:val="595959" w:themeColor="text1" w:themeTint="A6"/>
            </w:rPr>
            <w:fldChar w:fldCharType="begin"/>
          </w:r>
          <w:r w:rsidRPr="00527E0F">
            <w:rPr>
              <w:rFonts w:ascii="Century Gothic" w:hAnsi="Century Gothic"/>
              <w:color w:val="595959" w:themeColor="text1" w:themeTint="A6"/>
            </w:rPr>
            <w:instrText xml:space="preserve"> CITATION Ech03 \l 12298 </w:instrText>
          </w:r>
          <w:r w:rsidRPr="00527E0F">
            <w:rPr>
              <w:rFonts w:ascii="Century Gothic" w:hAnsi="Century Gothic"/>
              <w:color w:val="595959" w:themeColor="text1" w:themeTint="A6"/>
            </w:rPr>
            <w:fldChar w:fldCharType="separate"/>
          </w:r>
          <w:r w:rsidRPr="00527E0F">
            <w:rPr>
              <w:rFonts w:ascii="Century Gothic" w:hAnsi="Century Gothic"/>
              <w:color w:val="595959" w:themeColor="text1" w:themeTint="A6"/>
            </w:rPr>
            <w:t xml:space="preserve"> (Echegoyen, 2003)</w:t>
          </w:r>
          <w:r w:rsidRPr="00527E0F">
            <w:rPr>
              <w:rFonts w:ascii="Century Gothic" w:hAnsi="Century Gothic"/>
              <w:color w:val="595959" w:themeColor="text1" w:themeTint="A6"/>
            </w:rPr>
            <w:fldChar w:fldCharType="end"/>
          </w:r>
        </w:sdtContent>
      </w:sdt>
      <w:r w:rsidRPr="00527E0F">
        <w:rPr>
          <w:rFonts w:ascii="Century Gothic" w:hAnsi="Century Gothic"/>
          <w:color w:val="595959" w:themeColor="text1" w:themeTint="A6"/>
        </w:rPr>
        <w:t>:</w:t>
      </w:r>
    </w:p>
    <w:p w14:paraId="186C8537" w14:textId="77777777" w:rsidR="00F67524" w:rsidRPr="00527E0F" w:rsidRDefault="00F67524" w:rsidP="009B7728">
      <w:pPr>
        <w:jc w:val="both"/>
        <w:rPr>
          <w:rFonts w:ascii="Century Gothic" w:hAnsi="Century Gothic"/>
          <w:color w:val="595959" w:themeColor="text1" w:themeTint="A6"/>
        </w:rPr>
      </w:pPr>
    </w:p>
    <w:p w14:paraId="163F514B" w14:textId="77777777" w:rsidR="00492810" w:rsidRPr="00443329" w:rsidRDefault="00492810" w:rsidP="003C20C6">
      <w:pPr>
        <w:pStyle w:val="Prrafodelista"/>
        <w:numPr>
          <w:ilvl w:val="0"/>
          <w:numId w:val="29"/>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Obtención de datos a bajo costo;</w:t>
      </w:r>
    </w:p>
    <w:p w14:paraId="161E7A92" w14:textId="77777777" w:rsidR="00492810" w:rsidRPr="00443329" w:rsidRDefault="00492810" w:rsidP="003C20C6">
      <w:pPr>
        <w:pStyle w:val="Prrafodelista"/>
        <w:numPr>
          <w:ilvl w:val="0"/>
          <w:numId w:val="29"/>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Contribuye a reducir la carga de llenado de formularios para los informantes;</w:t>
      </w:r>
    </w:p>
    <w:p w14:paraId="2A510217" w14:textId="77777777" w:rsidR="00492810" w:rsidRPr="00443329" w:rsidRDefault="00492810" w:rsidP="003C20C6">
      <w:pPr>
        <w:pStyle w:val="Prrafodelista"/>
        <w:numPr>
          <w:ilvl w:val="0"/>
          <w:numId w:val="29"/>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Evita la duplicación de esfuerzos en la empresa informante ya que los mismos datos solicitados se informan a otros órganos del gobierno;</w:t>
      </w:r>
    </w:p>
    <w:p w14:paraId="00C9F80A" w14:textId="77777777" w:rsidR="00492810" w:rsidRPr="00443329" w:rsidRDefault="00492810" w:rsidP="003C20C6">
      <w:pPr>
        <w:pStyle w:val="Prrafodelista"/>
        <w:numPr>
          <w:ilvl w:val="0"/>
          <w:numId w:val="29"/>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Garantizan una cobertura completa de la población objetivo;</w:t>
      </w:r>
    </w:p>
    <w:p w14:paraId="5F3D3647" w14:textId="4CBDC449" w:rsidR="00492810" w:rsidRPr="00443329" w:rsidRDefault="00492810" w:rsidP="003C20C6">
      <w:pPr>
        <w:pStyle w:val="Prrafodelista"/>
        <w:numPr>
          <w:ilvl w:val="0"/>
          <w:numId w:val="29"/>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No contienen errores de muestreo, manejan un menor volumen de errores de no respuesta y permiten desgloses específicos de </w:t>
      </w:r>
      <w:r w:rsidR="003D53BE" w:rsidRPr="00443329">
        <w:rPr>
          <w:rFonts w:ascii="Century Gothic" w:hAnsi="Century Gothic"/>
          <w:color w:val="595959" w:themeColor="text1" w:themeTint="A6"/>
          <w:sz w:val="24"/>
        </w:rPr>
        <w:t>subpoblaciones</w:t>
      </w:r>
      <w:r w:rsidRPr="00443329">
        <w:rPr>
          <w:rFonts w:ascii="Century Gothic" w:hAnsi="Century Gothic"/>
          <w:color w:val="595959" w:themeColor="text1" w:themeTint="A6"/>
          <w:sz w:val="24"/>
        </w:rPr>
        <w:t>, tales como nivel geográfico, tamaño, actividad económica de la empresa o sus unidades locales, datos catastrales sobre sus unidades de actuación e informaciones sobre tamaño (número de empleados o facturación).</w:t>
      </w:r>
    </w:p>
    <w:p w14:paraId="4A5826CC" w14:textId="5E295F0B" w:rsidR="00492810" w:rsidRDefault="00492810" w:rsidP="009B7728">
      <w:pPr>
        <w:jc w:val="both"/>
        <w:rPr>
          <w:rFonts w:ascii="Century Gothic" w:hAnsi="Century Gothic"/>
          <w:color w:val="595959" w:themeColor="text1" w:themeTint="A6"/>
        </w:rPr>
      </w:pPr>
      <w:r w:rsidRPr="00527E0F">
        <w:rPr>
          <w:rFonts w:ascii="Century Gothic" w:hAnsi="Century Gothic"/>
          <w:color w:val="595959" w:themeColor="text1" w:themeTint="A6"/>
        </w:rPr>
        <w:t>De otra parte, las desventajas identificadas del uso de registros administrativos son las siguientes:</w:t>
      </w:r>
    </w:p>
    <w:p w14:paraId="74301E08" w14:textId="77777777" w:rsidR="00CF0C1E" w:rsidRPr="00527E0F" w:rsidRDefault="00CF0C1E" w:rsidP="00CF0C1E">
      <w:pPr>
        <w:jc w:val="both"/>
        <w:rPr>
          <w:rFonts w:ascii="Century Gothic" w:hAnsi="Century Gothic"/>
          <w:color w:val="595959" w:themeColor="text1" w:themeTint="A6"/>
        </w:rPr>
      </w:pPr>
    </w:p>
    <w:p w14:paraId="32D53FB8"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Falta de correspondencia en las definiciones de las unidades entre los sistemas administrativo y estadístico que obliga a realizar un proceso de conversión de unidades administrativas a unidades estadísticas;</w:t>
      </w:r>
    </w:p>
    <w:p w14:paraId="39FA46FE"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Diferencias en las definiciones de las variables;</w:t>
      </w:r>
    </w:p>
    <w:p w14:paraId="51824D3F"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Utilización de diferentes clasificaciones que hace necesario construir tablas de conversión para transformar los códigos de la clasificación administrativa en aquellos utilizados por el órgano estadístico;</w:t>
      </w:r>
    </w:p>
    <w:p w14:paraId="0EDA54F6"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Disponibilidad temporal de los datos y períodos de referencia no coincidentes con la finalidad estadística;</w:t>
      </w:r>
    </w:p>
    <w:p w14:paraId="68FA2A7F"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Los registros administrativos del sector público pueden ser afectados por cambios políticos;</w:t>
      </w:r>
    </w:p>
    <w:p w14:paraId="603D2EC4"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El órgano estadístico debe realizar una conciliación de los datos, lo cual se facilita en caso de que haya algún número identificador común en los registros;</w:t>
      </w:r>
    </w:p>
    <w:p w14:paraId="2637ECDF" w14:textId="77777777" w:rsidR="00492810" w:rsidRPr="00443329" w:rsidRDefault="00492810" w:rsidP="003C20C6">
      <w:pPr>
        <w:pStyle w:val="Prrafodelista"/>
        <w:numPr>
          <w:ilvl w:val="0"/>
          <w:numId w:val="30"/>
        </w:numPr>
        <w:ind w:left="720"/>
        <w:rPr>
          <w:rFonts w:ascii="Century Gothic" w:hAnsi="Century Gothic"/>
          <w:color w:val="595959" w:themeColor="text1" w:themeTint="A6"/>
          <w:sz w:val="24"/>
        </w:rPr>
      </w:pPr>
      <w:r w:rsidRPr="00443329">
        <w:rPr>
          <w:rFonts w:ascii="Century Gothic" w:hAnsi="Century Gothic"/>
          <w:color w:val="595959" w:themeColor="text1" w:themeTint="A6"/>
          <w:sz w:val="24"/>
        </w:rPr>
        <w:t>Inconsistencia de datos de diferentes fuentes que obliga a establecer reglas de prioridad de su uso, aplicando por ejemplo una encuesta de calidad que detecte el valor correcto de la variable.</w:t>
      </w:r>
    </w:p>
    <w:p w14:paraId="4A86EE6B" w14:textId="041E2D96" w:rsidR="00492810" w:rsidRDefault="00492810" w:rsidP="009B7728">
      <w:pPr>
        <w:jc w:val="both"/>
        <w:rPr>
          <w:rFonts w:ascii="Century Gothic" w:hAnsi="Century Gothic"/>
          <w:color w:val="595959" w:themeColor="text1" w:themeTint="A6"/>
        </w:rPr>
      </w:pPr>
      <w:r w:rsidRPr="00527E0F">
        <w:rPr>
          <w:rFonts w:ascii="Century Gothic" w:hAnsi="Century Gothic"/>
          <w:color w:val="595959" w:themeColor="text1" w:themeTint="A6"/>
        </w:rPr>
        <w:t xml:space="preserve">A nivel regional, la Comunidad Andina expidió en 2008 la Decisión 698 a través de la cual norma la creación de directorios de empresas y establece las bases de obtención de estadísticas del sector productivo de tal manera que puedan ser comparables entre países. </w:t>
      </w:r>
    </w:p>
    <w:p w14:paraId="35755CAF" w14:textId="294B5DC5" w:rsidR="00492810" w:rsidRDefault="00492810" w:rsidP="009B7728">
      <w:pPr>
        <w:jc w:val="both"/>
        <w:rPr>
          <w:rFonts w:ascii="Century Gothic" w:hAnsi="Century Gothic"/>
          <w:color w:val="595959" w:themeColor="text1" w:themeTint="A6"/>
        </w:rPr>
      </w:pPr>
      <w:r w:rsidRPr="00527E0F">
        <w:rPr>
          <w:rFonts w:ascii="Century Gothic" w:hAnsi="Century Gothic"/>
          <w:color w:val="595959" w:themeColor="text1" w:themeTint="A6"/>
        </w:rPr>
        <w:t>Al ser estadísticas construidas a partir de registros administrativos, para el cumplimiento de criterios de calidad que permiten la evaluación de las características de estos registros, se considera las recomendaciones de buenas prácticas estadísticas desarrolladas por organismos como EUROSTAT, Organización de Naciones Unidas (ONU) y la Organización para la Cooperación y el Desarrollo Económico (OCED).</w:t>
      </w:r>
    </w:p>
    <w:p w14:paraId="4B591CDE" w14:textId="77777777" w:rsidR="00CF0C1E" w:rsidRPr="00527E0F" w:rsidRDefault="00CF0C1E" w:rsidP="00CF0C1E">
      <w:pPr>
        <w:jc w:val="both"/>
        <w:rPr>
          <w:rFonts w:ascii="Century Gothic" w:hAnsi="Century Gothic"/>
          <w:color w:val="595959" w:themeColor="text1" w:themeTint="A6"/>
        </w:rPr>
      </w:pPr>
    </w:p>
    <w:p w14:paraId="727168EF" w14:textId="77777777" w:rsidR="00492810"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En el Ecuador, se consideró las recomendaciones de Buenas Prácticas Estadísticas que recoge el Manual de EUROSTAT, además de las recomendaciones formuladas en los informes de evaluación</w:t>
      </w:r>
      <w:r w:rsidRPr="00527E0F">
        <w:rPr>
          <w:rStyle w:val="Refdenotaalpie"/>
          <w:rFonts w:ascii="Century Gothic" w:hAnsi="Century Gothic"/>
          <w:color w:val="595959" w:themeColor="text1" w:themeTint="A6"/>
        </w:rPr>
        <w:footnoteReference w:id="9"/>
      </w:r>
      <w:r w:rsidRPr="00527E0F">
        <w:rPr>
          <w:rFonts w:ascii="Century Gothic" w:hAnsi="Century Gothic"/>
          <w:color w:val="595959" w:themeColor="text1" w:themeTint="A6"/>
        </w:rPr>
        <w:t xml:space="preserve"> de la implementación de Directorios, desarrollado por los proyectos ANDESTAD-CAN y “Marco Estadístico Regional para Directorios de Empresas y Establecimientos”.</w:t>
      </w:r>
    </w:p>
    <w:p w14:paraId="03D37DFB" w14:textId="77777777" w:rsidR="00F67524" w:rsidRPr="00527E0F" w:rsidRDefault="00F67524" w:rsidP="009B7728">
      <w:pPr>
        <w:jc w:val="both"/>
        <w:rPr>
          <w:rFonts w:ascii="Century Gothic" w:hAnsi="Century Gothic"/>
          <w:color w:val="595959" w:themeColor="text1" w:themeTint="A6"/>
        </w:rPr>
      </w:pPr>
    </w:p>
    <w:p w14:paraId="6394C20D" w14:textId="77777777" w:rsidR="00492810" w:rsidRPr="00176DC8" w:rsidRDefault="00492810" w:rsidP="00176DC8">
      <w:pPr>
        <w:pStyle w:val="SUBTITULOINEC"/>
        <w:ind w:left="708"/>
        <w:jc w:val="both"/>
        <w:rPr>
          <w:sz w:val="32"/>
          <w:szCs w:val="32"/>
          <w:lang w:eastAsia="es-EC"/>
        </w:rPr>
      </w:pPr>
      <w:bookmarkStart w:id="152" w:name="_Toc53757425"/>
      <w:r w:rsidRPr="00176DC8">
        <w:rPr>
          <w:sz w:val="32"/>
          <w:szCs w:val="32"/>
        </w:rPr>
        <w:t>1.3.2 Delimitación del marco conceptual y metodológico</w:t>
      </w:r>
      <w:bookmarkEnd w:id="152"/>
    </w:p>
    <w:p w14:paraId="7D33FE46" w14:textId="77777777" w:rsidR="00880AA1" w:rsidRDefault="00880AA1" w:rsidP="00443329">
      <w:pPr>
        <w:tabs>
          <w:tab w:val="left" w:pos="993"/>
        </w:tabs>
        <w:spacing w:after="240"/>
        <w:jc w:val="both"/>
        <w:rPr>
          <w:rFonts w:ascii="Century Gothic" w:hAnsi="Century Gothic"/>
          <w:color w:val="595959" w:themeColor="text1" w:themeTint="A6"/>
        </w:rPr>
      </w:pPr>
    </w:p>
    <w:p w14:paraId="63916B51" w14:textId="7E75239C" w:rsidR="00492810" w:rsidRPr="00527E0F" w:rsidRDefault="00492810" w:rsidP="00443329">
      <w:pPr>
        <w:tabs>
          <w:tab w:val="left" w:pos="993"/>
        </w:tabs>
        <w:spacing w:after="240"/>
        <w:jc w:val="both"/>
        <w:rPr>
          <w:rFonts w:ascii="Century Gothic" w:hAnsi="Century Gothic"/>
          <w:color w:val="595959" w:themeColor="text1" w:themeTint="A6"/>
        </w:rPr>
      </w:pPr>
      <w:r w:rsidRPr="00527E0F">
        <w:rPr>
          <w:rFonts w:ascii="Century Gothic" w:hAnsi="Century Gothic"/>
          <w:color w:val="595959" w:themeColor="text1" w:themeTint="A6"/>
        </w:rPr>
        <w:t>Un registro empresarial, considerado como un registro base</w:t>
      </w:r>
      <w:r w:rsidRPr="00527E0F">
        <w:rPr>
          <w:rStyle w:val="Refdenotaalpie"/>
          <w:rFonts w:ascii="Century Gothic" w:hAnsi="Century Gothic"/>
          <w:color w:val="595959" w:themeColor="text1" w:themeTint="A6"/>
        </w:rPr>
        <w:footnoteReference w:id="10"/>
      </w:r>
      <w:r w:rsidRPr="00527E0F">
        <w:rPr>
          <w:rFonts w:ascii="Century Gothic" w:hAnsi="Century Gothic"/>
          <w:color w:val="595959" w:themeColor="text1" w:themeTint="A6"/>
        </w:rPr>
        <w:t xml:space="preserve"> que define un conjunto de objetos poblacionales y las relaciones entre sí, puede aprovecharse para propósitos estadísticos</w:t>
      </w:r>
      <w:sdt>
        <w:sdtPr>
          <w:rPr>
            <w:rFonts w:ascii="Century Gothic" w:hAnsi="Century Gothic"/>
            <w:color w:val="595959" w:themeColor="text1" w:themeTint="A6"/>
          </w:rPr>
          <w:id w:val="-1596703434"/>
          <w:citation/>
        </w:sdtPr>
        <w:sdtEndPr/>
        <w:sdtContent>
          <w:r w:rsidRPr="00527E0F">
            <w:rPr>
              <w:rFonts w:ascii="Century Gothic" w:hAnsi="Century Gothic"/>
              <w:color w:val="595959" w:themeColor="text1" w:themeTint="A6"/>
            </w:rPr>
            <w:fldChar w:fldCharType="begin"/>
          </w:r>
          <w:r w:rsidRPr="00527E0F">
            <w:rPr>
              <w:rFonts w:ascii="Century Gothic" w:hAnsi="Century Gothic"/>
              <w:color w:val="595959" w:themeColor="text1" w:themeTint="A6"/>
            </w:rPr>
            <w:instrText xml:space="preserve"> CITATION And12 \l 12298 </w:instrText>
          </w:r>
          <w:r w:rsidRPr="00527E0F">
            <w:rPr>
              <w:rFonts w:ascii="Century Gothic" w:hAnsi="Century Gothic"/>
              <w:color w:val="595959" w:themeColor="text1" w:themeTint="A6"/>
            </w:rPr>
            <w:fldChar w:fldCharType="separate"/>
          </w:r>
          <w:r w:rsidRPr="00527E0F">
            <w:rPr>
              <w:rFonts w:ascii="Century Gothic" w:hAnsi="Century Gothic"/>
              <w:noProof/>
              <w:color w:val="595959" w:themeColor="text1" w:themeTint="A6"/>
            </w:rPr>
            <w:t xml:space="preserve"> (Wallgren, 2012)</w:t>
          </w:r>
          <w:r w:rsidRPr="00527E0F">
            <w:rPr>
              <w:rFonts w:ascii="Century Gothic" w:hAnsi="Century Gothic"/>
              <w:color w:val="595959" w:themeColor="text1" w:themeTint="A6"/>
            </w:rPr>
            <w:fldChar w:fldCharType="end"/>
          </w:r>
        </w:sdtContent>
      </w:sdt>
      <w:r w:rsidRPr="00527E0F">
        <w:rPr>
          <w:rFonts w:ascii="Century Gothic" w:hAnsi="Century Gothic"/>
          <w:color w:val="595959" w:themeColor="text1" w:themeTint="A6"/>
        </w:rPr>
        <w:t>. El Directorio de Empresas y Establecimientos Económicos del INEC, construye un sistema de información único de todas las empresas y establecimientos ecuatorianos constituidos formalmente con el fin de producir bienes y servicios para consumo.</w:t>
      </w:r>
    </w:p>
    <w:p w14:paraId="5CCEFA9C"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El DIEE mantiene en su estructura conceptual las tres unidades propuestas en el Anexo I de la Decisión 698 por la Comunidad Andina en su directorio mínimo común: unidad legal, empresa y unidad local</w:t>
      </w:r>
      <w:r w:rsidRPr="00527E0F">
        <w:rPr>
          <w:rStyle w:val="Refdenotaalpie"/>
          <w:rFonts w:ascii="Century Gothic" w:hAnsi="Century Gothic"/>
          <w:color w:val="595959" w:themeColor="text1" w:themeTint="A6"/>
        </w:rPr>
        <w:footnoteReference w:id="11"/>
      </w:r>
      <w:r w:rsidRPr="00527E0F">
        <w:rPr>
          <w:rFonts w:ascii="Century Gothic" w:hAnsi="Century Gothic"/>
          <w:color w:val="595959" w:themeColor="text1" w:themeTint="A6"/>
        </w:rPr>
        <w:t xml:space="preserve"> (CAN, 2010). Esta relación se puede observar a continuación:</w:t>
      </w:r>
    </w:p>
    <w:p w14:paraId="0B711A00" w14:textId="77777777" w:rsidR="00492810" w:rsidRPr="00527E0F" w:rsidRDefault="00492810" w:rsidP="00CF0C1E">
      <w:pPr>
        <w:tabs>
          <w:tab w:val="left" w:pos="993"/>
        </w:tabs>
        <w:ind w:left="426"/>
        <w:rPr>
          <w:rFonts w:ascii="Century Gothic" w:hAnsi="Century Gothic"/>
          <w:color w:val="595959" w:themeColor="text1" w:themeTint="A6"/>
        </w:rPr>
      </w:pPr>
    </w:p>
    <w:p w14:paraId="0CFF37FD" w14:textId="77777777" w:rsidR="00492810" w:rsidRPr="00527E0F" w:rsidRDefault="00492810" w:rsidP="00CF0C1E">
      <w:pPr>
        <w:tabs>
          <w:tab w:val="left" w:pos="993"/>
        </w:tabs>
        <w:ind w:left="426"/>
        <w:rPr>
          <w:rFonts w:ascii="Century Gothic" w:hAnsi="Century Gothic"/>
          <w:color w:val="595959" w:themeColor="text1" w:themeTint="A6"/>
        </w:rPr>
      </w:pPr>
    </w:p>
    <w:p w14:paraId="36138B0D" w14:textId="77777777" w:rsidR="00492810" w:rsidRPr="00527E0F" w:rsidRDefault="00492810" w:rsidP="00492810">
      <w:pPr>
        <w:rPr>
          <w:rFonts w:ascii="Century Gothic" w:hAnsi="Century Gothic" w:cs="Arial"/>
          <w:spacing w:val="8"/>
        </w:rPr>
      </w:pPr>
      <w:r w:rsidRPr="00527E0F">
        <w:rPr>
          <w:rFonts w:ascii="Century Gothic" w:hAnsi="Century Gothic" w:cs="Arial"/>
          <w:noProof/>
          <w:spacing w:val="8"/>
          <w:lang w:eastAsia="es-EC"/>
        </w:rPr>
        <mc:AlternateContent>
          <mc:Choice Requires="wps">
            <w:drawing>
              <wp:anchor distT="0" distB="0" distL="114300" distR="114300" simplePos="0" relativeHeight="251674624" behindDoc="0" locked="0" layoutInCell="1" allowOverlap="1" wp14:anchorId="1319F364" wp14:editId="659AF42E">
                <wp:simplePos x="0" y="0"/>
                <wp:positionH relativeFrom="column">
                  <wp:posOffset>2190750</wp:posOffset>
                </wp:positionH>
                <wp:positionV relativeFrom="paragraph">
                  <wp:posOffset>2106295</wp:posOffset>
                </wp:positionV>
                <wp:extent cx="1685925" cy="333375"/>
                <wp:effectExtent l="0" t="0" r="0" b="0"/>
                <wp:wrapNone/>
                <wp:docPr id="2"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3333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90A760" w14:textId="77777777" w:rsidR="00BF7001" w:rsidRPr="005F3153" w:rsidRDefault="00BF7001" w:rsidP="00492810">
                            <w:pPr>
                              <w:rPr>
                                <w:rFonts w:ascii="Century Gothic" w:hAnsi="Century Gothic"/>
                                <w:sz w:val="16"/>
                                <w:szCs w:val="16"/>
                              </w:rPr>
                            </w:pPr>
                            <w:r w:rsidRPr="005F3153">
                              <w:rPr>
                                <w:rFonts w:ascii="Century Gothic" w:hAnsi="Century Gothic"/>
                                <w:sz w:val="16"/>
                                <w:szCs w:val="16"/>
                              </w:rPr>
                              <w:t>Ejerce su actividad de una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19F364" id="AutoShape 7" o:spid="_x0000_s1031" style="position:absolute;margin-left:172.5pt;margin-top:165.85pt;width:132.75pt;height:2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" stroked="f">
                <v:textbox>
                  <w:txbxContent>
                    <w:p w14:paraId="3F90A760" w14:textId="77777777" w:rsidR="00BF7001" w:rsidRPr="005F3153" w:rsidRDefault="00BF7001" w:rsidP="00492810">
                      <w:pPr>
                        <w:rPr>
                          <w:rFonts w:ascii="Century Gothic" w:hAnsi="Century Gothic"/>
                          <w:sz w:val="16"/>
                          <w:szCs w:val="16"/>
                        </w:rPr>
                      </w:pPr>
                      <w:r w:rsidRPr="005F3153">
                        <w:rPr>
                          <w:rFonts w:ascii="Century Gothic" w:hAnsi="Century Gothic"/>
                          <w:sz w:val="16"/>
                          <w:szCs w:val="16"/>
                        </w:rPr>
                        <w:t>Ejerce su actividad de una</w:t>
                      </w:r>
                    </w:p>
                  </w:txbxContent>
                </v:textbox>
              </v:roundrect>
            </w:pict>
          </mc:Fallback>
        </mc:AlternateContent>
      </w:r>
      <w:r w:rsidRPr="00527E0F">
        <w:rPr>
          <w:rFonts w:ascii="Century Gothic" w:hAnsi="Century Gothic" w:cs="Arial"/>
          <w:noProof/>
          <w:spacing w:val="8"/>
          <w:lang w:eastAsia="es-EC"/>
        </w:rPr>
        <mc:AlternateContent>
          <mc:Choice Requires="wps">
            <w:drawing>
              <wp:anchor distT="0" distB="0" distL="114300" distR="114300" simplePos="0" relativeHeight="251673600" behindDoc="0" locked="0" layoutInCell="1" allowOverlap="1" wp14:anchorId="0496730A" wp14:editId="1AC7F072">
                <wp:simplePos x="0" y="0"/>
                <wp:positionH relativeFrom="column">
                  <wp:posOffset>2276475</wp:posOffset>
                </wp:positionH>
                <wp:positionV relativeFrom="paragraph">
                  <wp:posOffset>934720</wp:posOffset>
                </wp:positionV>
                <wp:extent cx="1685925" cy="333375"/>
                <wp:effectExtent l="0" t="0" r="0" b="0"/>
                <wp:wrapNone/>
                <wp:docPr id="1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3333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F62A21" w14:textId="77777777" w:rsidR="00BF7001" w:rsidRPr="005F3153" w:rsidRDefault="00BF7001" w:rsidP="00492810">
                            <w:pPr>
                              <w:rPr>
                                <w:rFonts w:ascii="Century Gothic" w:hAnsi="Century Gothic"/>
                                <w:sz w:val="16"/>
                                <w:szCs w:val="16"/>
                              </w:rPr>
                            </w:pPr>
                            <w:r w:rsidRPr="005F3153">
                              <w:rPr>
                                <w:rFonts w:ascii="Century Gothic" w:hAnsi="Century Gothic"/>
                                <w:sz w:val="16"/>
                                <w:szCs w:val="16"/>
                              </w:rPr>
                              <w:t>Es responsable de una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96730A" id="AutoShape 6" o:spid="_x0000_s1032" style="position:absolute;margin-left:179.25pt;margin-top:73.6pt;width:132.75pt;height:26.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" stroked="f">
                <v:textbox>
                  <w:txbxContent>
                    <w:p w14:paraId="48F62A21" w14:textId="77777777" w:rsidR="00BF7001" w:rsidRPr="005F3153" w:rsidRDefault="00BF7001" w:rsidP="00492810">
                      <w:pPr>
                        <w:rPr>
                          <w:rFonts w:ascii="Century Gothic" w:hAnsi="Century Gothic"/>
                          <w:sz w:val="16"/>
                          <w:szCs w:val="16"/>
                        </w:rPr>
                      </w:pPr>
                      <w:r w:rsidRPr="005F3153">
                        <w:rPr>
                          <w:rFonts w:ascii="Century Gothic" w:hAnsi="Century Gothic"/>
                          <w:sz w:val="16"/>
                          <w:szCs w:val="16"/>
                        </w:rPr>
                        <w:t>Es responsable de una</w:t>
                      </w:r>
                    </w:p>
                  </w:txbxContent>
                </v:textbox>
              </v:roundrect>
            </w:pict>
          </mc:Fallback>
        </mc:AlternateContent>
      </w:r>
      <w:r w:rsidRPr="00527E0F">
        <w:rPr>
          <w:rFonts w:ascii="Century Gothic" w:hAnsi="Century Gothic" w:cs="Arial"/>
          <w:noProof/>
          <w:spacing w:val="8"/>
          <w:lang w:eastAsia="es-EC"/>
        </w:rPr>
        <w:drawing>
          <wp:inline distT="0" distB="0" distL="0" distR="0" wp14:anchorId="03600688" wp14:editId="6F958E49">
            <wp:extent cx="3667125" cy="3200400"/>
            <wp:effectExtent l="0" t="0" r="0" b="19050"/>
            <wp:docPr id="14" name="Diagrama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26CA36A9" w14:textId="77777777" w:rsidR="00492810" w:rsidRPr="00ED1B54" w:rsidRDefault="00492810" w:rsidP="00492810">
      <w:pPr>
        <w:jc w:val="center"/>
        <w:rPr>
          <w:rFonts w:ascii="Century Gothic" w:hAnsi="Century Gothic"/>
          <w:spacing w:val="8"/>
          <w:sz w:val="20"/>
          <w:szCs w:val="22"/>
        </w:rPr>
      </w:pPr>
      <w:r w:rsidRPr="00ED1B54">
        <w:rPr>
          <w:rFonts w:ascii="Century Gothic" w:hAnsi="Century Gothic"/>
          <w:spacing w:val="8"/>
          <w:sz w:val="20"/>
        </w:rPr>
        <w:t>Fuente: CAN, 2010</w:t>
      </w:r>
    </w:p>
    <w:p w14:paraId="369FA911" w14:textId="77777777" w:rsidR="00492810" w:rsidRPr="00443329" w:rsidRDefault="00492810" w:rsidP="00492810">
      <w:pPr>
        <w:jc w:val="center"/>
        <w:rPr>
          <w:rFonts w:ascii="Century Gothic" w:hAnsi="Century Gothic"/>
          <w:spacing w:val="8"/>
        </w:rPr>
      </w:pPr>
    </w:p>
    <w:p w14:paraId="2625C971"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b/>
          <w:color w:val="595959" w:themeColor="text1" w:themeTint="A6"/>
        </w:rPr>
        <w:t>Unidad Legal</w:t>
      </w:r>
      <w:r w:rsidRPr="00527E0F">
        <w:rPr>
          <w:rFonts w:ascii="Century Gothic" w:hAnsi="Century Gothic"/>
          <w:color w:val="595959" w:themeColor="text1" w:themeTint="A6"/>
        </w:rPr>
        <w:t>: Las unidades legales son aquellas a las cuales la ley reconoce el derecho de tener en nombre propio o patrimonio, de establecer contrato con terceros y de defender sus intereses frente a tribunales. Las unidades legales que ejercen total o parcialmente una actividad productiva pueden ser: i) personas jurídicas, cuya existencia está reconocida por la ley independientemente de las personas o instituciones que las posean o que sean miembros de ellas; ii) personas naturales que en calidad de independientes ejercen una actividad económica. (CAN, 2008)</w:t>
      </w:r>
    </w:p>
    <w:p w14:paraId="12ADCCD8" w14:textId="77777777" w:rsidR="00492810" w:rsidRPr="00527E0F" w:rsidRDefault="00492810" w:rsidP="00443329">
      <w:pPr>
        <w:tabs>
          <w:tab w:val="left" w:pos="993"/>
        </w:tabs>
        <w:jc w:val="both"/>
        <w:rPr>
          <w:rFonts w:ascii="Century Gothic" w:hAnsi="Century Gothic"/>
          <w:color w:val="595959" w:themeColor="text1" w:themeTint="A6"/>
        </w:rPr>
      </w:pPr>
    </w:p>
    <w:p w14:paraId="30983750"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b/>
          <w:color w:val="595959" w:themeColor="text1" w:themeTint="A6"/>
        </w:rPr>
        <w:t>Empresa:</w:t>
      </w:r>
      <w:r w:rsidRPr="00527E0F">
        <w:rPr>
          <w:rFonts w:ascii="Century Gothic" w:hAnsi="Century Gothic"/>
          <w:color w:val="595959" w:themeColor="text1" w:themeTint="A6"/>
        </w:rPr>
        <w:t xml:space="preserve"> Unidad organizativa que realiza actividades económicas en uno o varios lugares, con autonomía en la toma de decisiones de mercado, financiamiento e inversión. La empresa puede corresponder a una única unidad legal. (CAN, 2008)</w:t>
      </w:r>
    </w:p>
    <w:p w14:paraId="5A8EBE6B" w14:textId="77777777" w:rsidR="00492810" w:rsidRPr="00527E0F" w:rsidRDefault="00492810" w:rsidP="00443329">
      <w:pPr>
        <w:tabs>
          <w:tab w:val="left" w:pos="993"/>
        </w:tabs>
        <w:jc w:val="both"/>
        <w:rPr>
          <w:rFonts w:ascii="Century Gothic" w:hAnsi="Century Gothic"/>
          <w:color w:val="595959" w:themeColor="text1" w:themeTint="A6"/>
        </w:rPr>
      </w:pPr>
    </w:p>
    <w:p w14:paraId="312BFE37"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b/>
          <w:color w:val="595959" w:themeColor="text1" w:themeTint="A6"/>
        </w:rPr>
        <w:t>Establecimiento o unidad local:</w:t>
      </w:r>
      <w:r w:rsidRPr="00527E0F">
        <w:rPr>
          <w:rFonts w:ascii="Century Gothic" w:hAnsi="Century Gothic"/>
          <w:color w:val="595959" w:themeColor="text1" w:themeTint="A6"/>
        </w:rPr>
        <w:t xml:space="preserve"> Es la parte de una empresa ubicada en un lugar delimitado topográficamente. En dicho lugar, o a partir de él, la empresa ejerce sus actividades productivas. (CAN, 2008)</w:t>
      </w:r>
    </w:p>
    <w:p w14:paraId="7FC45AAB" w14:textId="77777777" w:rsidR="00492810" w:rsidRPr="00527E0F" w:rsidRDefault="00492810" w:rsidP="00443329">
      <w:pPr>
        <w:tabs>
          <w:tab w:val="left" w:pos="993"/>
        </w:tabs>
        <w:jc w:val="both"/>
        <w:rPr>
          <w:rFonts w:ascii="Century Gothic" w:hAnsi="Century Gothic"/>
          <w:color w:val="595959" w:themeColor="text1" w:themeTint="A6"/>
        </w:rPr>
      </w:pPr>
    </w:p>
    <w:p w14:paraId="2AD75865" w14:textId="77777777" w:rsidR="00492810"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Inicialmente el DIEE relacionaba con una correspondencia de uno a uno, la empresa y la unidad legal, es decir, la unidad legal era el soporte jurídico principal de una y sólo una empresa. En 2015 se realiza la diferenciación entre unidad legal y empresa según las definiciones establecidas por la CAN, es así que a partir de este año se dio tratamiento distinto a la unidad legal y empresa.</w:t>
      </w:r>
    </w:p>
    <w:p w14:paraId="2266E15A" w14:textId="77777777" w:rsidR="00F67524" w:rsidRDefault="00F67524" w:rsidP="00443329">
      <w:pPr>
        <w:tabs>
          <w:tab w:val="left" w:pos="993"/>
        </w:tabs>
        <w:jc w:val="both"/>
        <w:rPr>
          <w:rFonts w:ascii="Century Gothic" w:hAnsi="Century Gothic"/>
          <w:color w:val="595959" w:themeColor="text1" w:themeTint="A6"/>
        </w:rPr>
      </w:pPr>
    </w:p>
    <w:p w14:paraId="11020E5A" w14:textId="2A5A1DDE" w:rsidR="00492810" w:rsidRPr="00443329" w:rsidRDefault="00492810" w:rsidP="00443329">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443329">
        <w:rPr>
          <w:rFonts w:ascii="Century Gothic" w:hAnsi="Century Gothic"/>
          <w:b/>
          <w:bCs/>
          <w:color w:val="505685"/>
          <w14:textFill>
            <w14:solidFill>
              <w14:srgbClr w14:val="505685">
                <w14:lumMod w14:val="65000"/>
                <w14:lumOff w14:val="35000"/>
              </w14:srgbClr>
            </w14:solidFill>
          </w14:textFill>
        </w:rPr>
        <w:t>Variables</w:t>
      </w:r>
    </w:p>
    <w:p w14:paraId="5E388A0A" w14:textId="77777777" w:rsidR="00443329" w:rsidRPr="00527E0F" w:rsidRDefault="00443329" w:rsidP="00443329">
      <w:pPr>
        <w:tabs>
          <w:tab w:val="left" w:pos="993"/>
        </w:tabs>
        <w:jc w:val="both"/>
        <w:rPr>
          <w:rFonts w:ascii="Century Gothic" w:hAnsi="Century Gothic"/>
          <w:b/>
          <w:color w:val="595959" w:themeColor="text1" w:themeTint="A6"/>
        </w:rPr>
      </w:pPr>
    </w:p>
    <w:p w14:paraId="16ED4B45" w14:textId="77C7A9D4"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Una vez que se cuenta con las definiciones iniciales para el Directorio de Empresas, se procede a considerar las variables de trabajo. De acuerdo a fuentes de referencia regional e internacional como la Comunidad Andina de Naciones (CAN), el Banco Interamericano de Desarrollo (BID) o la Oficina Europea de Estadística (EUROSTAT), se recomienda recopilar cuatro tipos de variables para un adecuado registro de empresas y establecimientos. Esto permitirá generar información de calidad, y </w:t>
      </w:r>
      <w:r w:rsidR="00CF0C1E" w:rsidRPr="00527E0F">
        <w:rPr>
          <w:rFonts w:ascii="Century Gothic" w:hAnsi="Century Gothic"/>
          <w:color w:val="595959" w:themeColor="text1" w:themeTint="A6"/>
        </w:rPr>
        <w:t>sobre todo</w:t>
      </w:r>
      <w:r w:rsidRPr="00527E0F">
        <w:rPr>
          <w:rFonts w:ascii="Century Gothic" w:hAnsi="Century Gothic"/>
          <w:color w:val="595959" w:themeColor="text1" w:themeTint="A6"/>
        </w:rPr>
        <w:t>, enmarcada en estándares internacionales para comparaciones entre países.</w:t>
      </w:r>
    </w:p>
    <w:p w14:paraId="286D4EDD" w14:textId="77777777" w:rsidR="00492810" w:rsidRPr="00527E0F" w:rsidRDefault="00492810" w:rsidP="00443329">
      <w:pPr>
        <w:tabs>
          <w:tab w:val="left" w:pos="993"/>
        </w:tabs>
        <w:jc w:val="both"/>
        <w:rPr>
          <w:rFonts w:ascii="Century Gothic" w:hAnsi="Century Gothic"/>
          <w:color w:val="595959" w:themeColor="text1" w:themeTint="A6"/>
        </w:rPr>
      </w:pPr>
    </w:p>
    <w:p w14:paraId="047741FD"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Los tipos de variables agrupados en cuatro grandes grupos son los siguientes (CAN, 2009):</w:t>
      </w:r>
    </w:p>
    <w:p w14:paraId="6E2B483F" w14:textId="77777777" w:rsidR="00492810" w:rsidRPr="00443329" w:rsidRDefault="00492810" w:rsidP="003C20C6">
      <w:pPr>
        <w:pStyle w:val="Prrafodelista"/>
        <w:numPr>
          <w:ilvl w:val="1"/>
          <w:numId w:val="4"/>
        </w:numPr>
        <w:tabs>
          <w:tab w:val="left" w:pos="993"/>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Variables de identificación</w:t>
      </w:r>
    </w:p>
    <w:p w14:paraId="0D7F81B7" w14:textId="77777777" w:rsidR="00492810" w:rsidRPr="00443329" w:rsidRDefault="00492810" w:rsidP="003C20C6">
      <w:pPr>
        <w:pStyle w:val="Prrafodelista"/>
        <w:numPr>
          <w:ilvl w:val="1"/>
          <w:numId w:val="4"/>
        </w:numPr>
        <w:tabs>
          <w:tab w:val="left" w:pos="993"/>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Variables de estratificación</w:t>
      </w:r>
    </w:p>
    <w:p w14:paraId="6FA00173" w14:textId="77777777" w:rsidR="00492810" w:rsidRPr="00443329" w:rsidRDefault="00492810" w:rsidP="003C20C6">
      <w:pPr>
        <w:pStyle w:val="Prrafodelista"/>
        <w:numPr>
          <w:ilvl w:val="1"/>
          <w:numId w:val="4"/>
        </w:numPr>
        <w:tabs>
          <w:tab w:val="left" w:pos="993"/>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Variables demográficas</w:t>
      </w:r>
    </w:p>
    <w:p w14:paraId="68648CEA" w14:textId="77777777" w:rsidR="00492810" w:rsidRPr="00443329" w:rsidRDefault="00492810" w:rsidP="003C20C6">
      <w:pPr>
        <w:pStyle w:val="Prrafodelista"/>
        <w:numPr>
          <w:ilvl w:val="1"/>
          <w:numId w:val="4"/>
        </w:numPr>
        <w:tabs>
          <w:tab w:val="left" w:pos="993"/>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Otras variables</w:t>
      </w:r>
    </w:p>
    <w:p w14:paraId="747EDBD3" w14:textId="77777777" w:rsidR="00492810" w:rsidRPr="00527E0F" w:rsidRDefault="00492810" w:rsidP="00443329">
      <w:pPr>
        <w:tabs>
          <w:tab w:val="left" w:pos="993"/>
        </w:tabs>
        <w:jc w:val="both"/>
        <w:rPr>
          <w:rFonts w:ascii="Century Gothic" w:hAnsi="Century Gothic"/>
          <w:color w:val="595959" w:themeColor="text1" w:themeTint="A6"/>
        </w:rPr>
      </w:pPr>
    </w:p>
    <w:p w14:paraId="41C4204B" w14:textId="469D493D" w:rsidR="00492810" w:rsidRPr="00443329" w:rsidRDefault="00492810" w:rsidP="009E6870">
      <w:pPr>
        <w:pStyle w:val="Prrafodelista"/>
        <w:numPr>
          <w:ilvl w:val="0"/>
          <w:numId w:val="35"/>
        </w:numPr>
        <w:tabs>
          <w:tab w:val="left" w:pos="993"/>
        </w:tabs>
        <w:rPr>
          <w:rFonts w:ascii="Century Gothic" w:hAnsi="Century Gothic"/>
          <w:b/>
          <w:bCs/>
          <w:color w:val="505685"/>
          <w:sz w:val="24"/>
          <w:szCs w:val="24"/>
          <w14:textFill>
            <w14:solidFill>
              <w14:srgbClr w14:val="505685">
                <w14:lumMod w14:val="65000"/>
                <w14:lumOff w14:val="35000"/>
              </w14:srgbClr>
            </w14:solidFill>
          </w14:textFill>
        </w:rPr>
      </w:pPr>
      <w:r w:rsidRPr="00443329">
        <w:rPr>
          <w:rFonts w:ascii="Century Gothic" w:hAnsi="Century Gothic"/>
          <w:b/>
          <w:bCs/>
          <w:color w:val="505685"/>
          <w:sz w:val="24"/>
          <w:szCs w:val="24"/>
          <w14:textFill>
            <w14:solidFill>
              <w14:srgbClr w14:val="505685">
                <w14:lumMod w14:val="65000"/>
                <w14:lumOff w14:val="35000"/>
              </w14:srgbClr>
            </w14:solidFill>
          </w14:textFill>
        </w:rPr>
        <w:t>Variables de identificación</w:t>
      </w:r>
    </w:p>
    <w:p w14:paraId="1C17B3CA"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Estas variables permiten identificar a las empresas y establecimientos económicos. Se recomienda incluir las siguientes variables:</w:t>
      </w:r>
    </w:p>
    <w:p w14:paraId="54591E5A" w14:textId="77777777" w:rsidR="00492810" w:rsidRPr="00443329" w:rsidRDefault="00492810" w:rsidP="003C20C6">
      <w:pPr>
        <w:pStyle w:val="Prrafodelista"/>
        <w:numPr>
          <w:ilvl w:val="0"/>
          <w:numId w:val="24"/>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Números de identificación</w:t>
      </w:r>
    </w:p>
    <w:p w14:paraId="79EE57F4" w14:textId="77777777" w:rsidR="00492810" w:rsidRPr="00443329" w:rsidRDefault="00492810" w:rsidP="003C20C6">
      <w:pPr>
        <w:pStyle w:val="Prrafodelista"/>
        <w:numPr>
          <w:ilvl w:val="0"/>
          <w:numId w:val="24"/>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Nombre, dirección y detalles de contacto</w:t>
      </w:r>
    </w:p>
    <w:p w14:paraId="47B1361C" w14:textId="77777777" w:rsidR="00492810" w:rsidRDefault="00492810" w:rsidP="003C20C6">
      <w:pPr>
        <w:pStyle w:val="Prrafodelista"/>
        <w:numPr>
          <w:ilvl w:val="0"/>
          <w:numId w:val="24"/>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Forma jurídica</w:t>
      </w:r>
    </w:p>
    <w:p w14:paraId="74759D6C" w14:textId="7E3EA5A3" w:rsidR="00492810" w:rsidRDefault="00492810" w:rsidP="00443329">
      <w:pPr>
        <w:tabs>
          <w:tab w:val="left" w:pos="993"/>
        </w:tabs>
        <w:jc w:val="both"/>
        <w:rPr>
          <w:rFonts w:ascii="Century Gothic" w:hAnsi="Century Gothic"/>
          <w:color w:val="595959" w:themeColor="text1" w:themeTint="A6"/>
        </w:rPr>
      </w:pPr>
    </w:p>
    <w:p w14:paraId="5F251C7D" w14:textId="4EF95375" w:rsidR="00492810" w:rsidRPr="00443329" w:rsidRDefault="00492810" w:rsidP="009E6870">
      <w:pPr>
        <w:pStyle w:val="Prrafodelista"/>
        <w:numPr>
          <w:ilvl w:val="0"/>
          <w:numId w:val="35"/>
        </w:numPr>
        <w:tabs>
          <w:tab w:val="left" w:pos="993"/>
        </w:tabs>
        <w:rPr>
          <w:rFonts w:ascii="Century Gothic" w:hAnsi="Century Gothic"/>
          <w:b/>
          <w:bCs/>
          <w:color w:val="505685"/>
          <w:sz w:val="24"/>
          <w:szCs w:val="24"/>
          <w14:textFill>
            <w14:solidFill>
              <w14:srgbClr w14:val="505685">
                <w14:lumMod w14:val="65000"/>
                <w14:lumOff w14:val="35000"/>
              </w14:srgbClr>
            </w14:solidFill>
          </w14:textFill>
        </w:rPr>
      </w:pPr>
      <w:r w:rsidRPr="00443329">
        <w:rPr>
          <w:rFonts w:ascii="Century Gothic" w:hAnsi="Century Gothic"/>
          <w:b/>
          <w:bCs/>
          <w:color w:val="505685"/>
          <w:sz w:val="24"/>
          <w:szCs w:val="24"/>
          <w14:textFill>
            <w14:solidFill>
              <w14:srgbClr w14:val="505685">
                <w14:lumMod w14:val="65000"/>
                <w14:lumOff w14:val="35000"/>
              </w14:srgbClr>
            </w14:solidFill>
          </w14:textFill>
        </w:rPr>
        <w:t>Variables de estratificación</w:t>
      </w:r>
    </w:p>
    <w:p w14:paraId="2DC2C2C0"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La Resolución 1273 del Manual de Recomendaciones Sobre los Directorios de Empresas con Fines Estadísticos en la Comunidad Andina de Naciones, determina que las variables de estratificación son: </w:t>
      </w:r>
    </w:p>
    <w:p w14:paraId="23B60356" w14:textId="77777777" w:rsidR="00492810" w:rsidRPr="00443329" w:rsidRDefault="00492810" w:rsidP="003C20C6">
      <w:pPr>
        <w:pStyle w:val="Prrafodelista"/>
        <w:numPr>
          <w:ilvl w:val="0"/>
          <w:numId w:val="25"/>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Actividad Económica</w:t>
      </w:r>
    </w:p>
    <w:p w14:paraId="18AACDF1" w14:textId="77777777" w:rsidR="00492810" w:rsidRPr="00443329" w:rsidRDefault="00492810" w:rsidP="003C20C6">
      <w:pPr>
        <w:pStyle w:val="Prrafodelista"/>
        <w:numPr>
          <w:ilvl w:val="0"/>
          <w:numId w:val="25"/>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Tamaño de empresa</w:t>
      </w:r>
    </w:p>
    <w:p w14:paraId="6BAB45E7" w14:textId="77777777" w:rsidR="00492810" w:rsidRPr="00443329" w:rsidRDefault="00492810" w:rsidP="003C20C6">
      <w:pPr>
        <w:pStyle w:val="Prrafodelista"/>
        <w:numPr>
          <w:ilvl w:val="0"/>
          <w:numId w:val="25"/>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Ubicación geográfica</w:t>
      </w:r>
    </w:p>
    <w:p w14:paraId="02111776" w14:textId="7EC5C7B9" w:rsidR="00492810" w:rsidRPr="00443329" w:rsidRDefault="00492810" w:rsidP="009E6870">
      <w:pPr>
        <w:pStyle w:val="Prrafodelista"/>
        <w:numPr>
          <w:ilvl w:val="0"/>
          <w:numId w:val="35"/>
        </w:numPr>
        <w:tabs>
          <w:tab w:val="left" w:pos="993"/>
        </w:tabs>
        <w:rPr>
          <w:rFonts w:ascii="Century Gothic" w:hAnsi="Century Gothic"/>
          <w:b/>
          <w:bCs/>
          <w:color w:val="505685"/>
          <w:sz w:val="24"/>
          <w:szCs w:val="24"/>
          <w14:textFill>
            <w14:solidFill>
              <w14:srgbClr w14:val="505685">
                <w14:lumMod w14:val="65000"/>
                <w14:lumOff w14:val="35000"/>
              </w14:srgbClr>
            </w14:solidFill>
          </w14:textFill>
        </w:rPr>
      </w:pPr>
      <w:r w:rsidRPr="00443329">
        <w:rPr>
          <w:rFonts w:ascii="Century Gothic" w:hAnsi="Century Gothic"/>
          <w:b/>
          <w:bCs/>
          <w:color w:val="505685"/>
          <w:sz w:val="24"/>
          <w:szCs w:val="24"/>
          <w14:textFill>
            <w14:solidFill>
              <w14:srgbClr w14:val="505685">
                <w14:lumMod w14:val="65000"/>
                <w14:lumOff w14:val="35000"/>
              </w14:srgbClr>
            </w14:solidFill>
          </w14:textFill>
        </w:rPr>
        <w:t>Variables demográficas</w:t>
      </w:r>
    </w:p>
    <w:p w14:paraId="64BDCA74"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Para determinar el nacimiento, cierre y supervivencia de las empresas, se puede utilizar las siguientes variables demográficas:</w:t>
      </w:r>
    </w:p>
    <w:p w14:paraId="600CB402" w14:textId="77777777" w:rsidR="00492810" w:rsidRPr="00443329" w:rsidRDefault="00492810" w:rsidP="003C20C6">
      <w:pPr>
        <w:pStyle w:val="Prrafodelista"/>
        <w:numPr>
          <w:ilvl w:val="0"/>
          <w:numId w:val="26"/>
        </w:numPr>
        <w:tabs>
          <w:tab w:val="left" w:pos="709"/>
        </w:tabs>
        <w:spacing w:after="0"/>
        <w:ind w:left="425" w:hanging="425"/>
        <w:rPr>
          <w:rFonts w:ascii="Century Gothic" w:hAnsi="Century Gothic"/>
          <w:color w:val="595959" w:themeColor="text1" w:themeTint="A6"/>
          <w:sz w:val="24"/>
        </w:rPr>
      </w:pPr>
      <w:r w:rsidRPr="00443329">
        <w:rPr>
          <w:rFonts w:ascii="Century Gothic" w:hAnsi="Century Gothic"/>
          <w:color w:val="595959" w:themeColor="text1" w:themeTint="A6"/>
          <w:sz w:val="24"/>
        </w:rPr>
        <w:t>Fecha de inicio de operaciones de la empresa</w:t>
      </w:r>
    </w:p>
    <w:p w14:paraId="6262A8D6" w14:textId="77777777" w:rsidR="00492810" w:rsidRPr="00443329" w:rsidRDefault="00492810" w:rsidP="003C20C6">
      <w:pPr>
        <w:pStyle w:val="Prrafodelista"/>
        <w:numPr>
          <w:ilvl w:val="0"/>
          <w:numId w:val="26"/>
        </w:numPr>
        <w:tabs>
          <w:tab w:val="left" w:pos="709"/>
        </w:tabs>
        <w:spacing w:after="0"/>
        <w:ind w:left="425" w:hanging="425"/>
        <w:rPr>
          <w:rFonts w:ascii="Century Gothic" w:hAnsi="Century Gothic"/>
          <w:color w:val="595959" w:themeColor="text1" w:themeTint="A6"/>
          <w:sz w:val="24"/>
        </w:rPr>
      </w:pPr>
      <w:r w:rsidRPr="00443329">
        <w:rPr>
          <w:rFonts w:ascii="Century Gothic" w:hAnsi="Century Gothic"/>
          <w:color w:val="595959" w:themeColor="text1" w:themeTint="A6"/>
          <w:sz w:val="24"/>
        </w:rPr>
        <w:t>Fecha de cese definitivo de las actividades de la empresa</w:t>
      </w:r>
    </w:p>
    <w:p w14:paraId="7DF3FA19" w14:textId="77777777" w:rsidR="00492810" w:rsidRPr="00443329" w:rsidRDefault="00492810" w:rsidP="003C20C6">
      <w:pPr>
        <w:pStyle w:val="Prrafodelista"/>
        <w:numPr>
          <w:ilvl w:val="0"/>
          <w:numId w:val="26"/>
        </w:numPr>
        <w:tabs>
          <w:tab w:val="left" w:pos="709"/>
        </w:tabs>
        <w:spacing w:after="0"/>
        <w:ind w:left="425" w:hanging="425"/>
        <w:rPr>
          <w:rFonts w:ascii="Century Gothic" w:hAnsi="Century Gothic"/>
          <w:color w:val="595959" w:themeColor="text1" w:themeTint="A6"/>
          <w:sz w:val="24"/>
        </w:rPr>
      </w:pPr>
      <w:r w:rsidRPr="00443329">
        <w:rPr>
          <w:rFonts w:ascii="Century Gothic" w:hAnsi="Century Gothic"/>
          <w:color w:val="595959" w:themeColor="text1" w:themeTint="A6"/>
          <w:sz w:val="24"/>
        </w:rPr>
        <w:t>Fecha de inicio de actividades del establecimiento</w:t>
      </w:r>
    </w:p>
    <w:p w14:paraId="13CE818D" w14:textId="77777777" w:rsidR="00492810" w:rsidRPr="00443329" w:rsidRDefault="00492810" w:rsidP="003C20C6">
      <w:pPr>
        <w:pStyle w:val="Prrafodelista"/>
        <w:numPr>
          <w:ilvl w:val="0"/>
          <w:numId w:val="26"/>
        </w:numPr>
        <w:tabs>
          <w:tab w:val="left" w:pos="709"/>
        </w:tabs>
        <w:spacing w:after="0"/>
        <w:ind w:left="425" w:hanging="425"/>
        <w:rPr>
          <w:rFonts w:ascii="Century Gothic" w:hAnsi="Century Gothic"/>
          <w:color w:val="595959" w:themeColor="text1" w:themeTint="A6"/>
          <w:sz w:val="24"/>
        </w:rPr>
      </w:pPr>
      <w:r w:rsidRPr="00443329">
        <w:rPr>
          <w:rFonts w:ascii="Century Gothic" w:hAnsi="Century Gothic"/>
          <w:color w:val="595959" w:themeColor="text1" w:themeTint="A6"/>
          <w:sz w:val="24"/>
        </w:rPr>
        <w:t>Fecha de cese definitivo de las actividades del establecimiento</w:t>
      </w:r>
    </w:p>
    <w:p w14:paraId="744CCA6C" w14:textId="77777777" w:rsidR="00492810" w:rsidRPr="00527E0F" w:rsidRDefault="00492810" w:rsidP="00443329">
      <w:pPr>
        <w:tabs>
          <w:tab w:val="left" w:pos="993"/>
        </w:tabs>
        <w:jc w:val="both"/>
        <w:rPr>
          <w:rFonts w:ascii="Century Gothic" w:hAnsi="Century Gothic"/>
          <w:color w:val="595959" w:themeColor="text1" w:themeTint="A6"/>
        </w:rPr>
      </w:pPr>
    </w:p>
    <w:p w14:paraId="40FE8706"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En el DIEE se considera activa una empresa siempre y cuando en un período determinado (generalmente un año fiscal) tenga por lo menos uno de los siguientes registros: ventas, personal afiliado medido como plazas de empleo, o declaración al RISE. </w:t>
      </w:r>
    </w:p>
    <w:p w14:paraId="7F8EB955" w14:textId="77777777" w:rsidR="00492810" w:rsidRPr="00527E0F" w:rsidRDefault="00492810" w:rsidP="00443329">
      <w:pPr>
        <w:tabs>
          <w:tab w:val="left" w:pos="993"/>
        </w:tabs>
        <w:jc w:val="both"/>
        <w:rPr>
          <w:rFonts w:ascii="Century Gothic" w:hAnsi="Century Gothic"/>
          <w:color w:val="595959" w:themeColor="text1" w:themeTint="A6"/>
        </w:rPr>
      </w:pPr>
    </w:p>
    <w:p w14:paraId="2168EF03" w14:textId="558D6035" w:rsidR="00492810" w:rsidRPr="00443329" w:rsidRDefault="00492810" w:rsidP="009E6870">
      <w:pPr>
        <w:pStyle w:val="Prrafodelista"/>
        <w:numPr>
          <w:ilvl w:val="0"/>
          <w:numId w:val="35"/>
        </w:numPr>
        <w:tabs>
          <w:tab w:val="left" w:pos="993"/>
        </w:tabs>
        <w:rPr>
          <w:rFonts w:ascii="Century Gothic" w:hAnsi="Century Gothic"/>
          <w:b/>
          <w:bCs/>
          <w:color w:val="505685"/>
          <w:sz w:val="24"/>
          <w:szCs w:val="24"/>
          <w14:textFill>
            <w14:solidFill>
              <w14:srgbClr w14:val="505685">
                <w14:lumMod w14:val="65000"/>
                <w14:lumOff w14:val="35000"/>
              </w14:srgbClr>
            </w14:solidFill>
          </w14:textFill>
        </w:rPr>
      </w:pPr>
      <w:r w:rsidRPr="00443329">
        <w:rPr>
          <w:rFonts w:ascii="Century Gothic" w:hAnsi="Century Gothic"/>
          <w:b/>
          <w:bCs/>
          <w:color w:val="505685"/>
          <w:sz w:val="24"/>
          <w:szCs w:val="24"/>
          <w14:textFill>
            <w14:solidFill>
              <w14:srgbClr w14:val="505685">
                <w14:lumMod w14:val="65000"/>
                <w14:lumOff w14:val="35000"/>
              </w14:srgbClr>
            </w14:solidFill>
          </w14:textFill>
        </w:rPr>
        <w:t xml:space="preserve">Otras variables </w:t>
      </w:r>
    </w:p>
    <w:p w14:paraId="51A606C1" w14:textId="23C7CD5C" w:rsidR="00492810" w:rsidRPr="00527E0F" w:rsidRDefault="003D53BE"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De acuerdo con</w:t>
      </w:r>
      <w:r w:rsidR="00492810" w:rsidRPr="00527E0F">
        <w:rPr>
          <w:rFonts w:ascii="Century Gothic" w:hAnsi="Century Gothic"/>
          <w:color w:val="595959" w:themeColor="text1" w:themeTint="A6"/>
        </w:rPr>
        <w:t xml:space="preserve"> lo establecido en el Manual sobre Directorio de Empresas con Fines Estadísticos en la Comunidad Andina, pueden existir otras variables relacionadas a las empresas de acuerdo a la realidad de cada país. (CAN, 2009)</w:t>
      </w:r>
    </w:p>
    <w:p w14:paraId="695DEA96" w14:textId="77777777" w:rsidR="00492810" w:rsidRPr="00527E0F" w:rsidRDefault="00492810" w:rsidP="00443329">
      <w:pPr>
        <w:tabs>
          <w:tab w:val="left" w:pos="993"/>
        </w:tabs>
        <w:jc w:val="both"/>
        <w:rPr>
          <w:rFonts w:ascii="Century Gothic" w:hAnsi="Century Gothic"/>
          <w:color w:val="595959" w:themeColor="text1" w:themeTint="A6"/>
        </w:rPr>
      </w:pPr>
    </w:p>
    <w:p w14:paraId="52FD597A"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Para el caso ecuatoriano, estas variables son:</w:t>
      </w:r>
    </w:p>
    <w:p w14:paraId="5C5E871E" w14:textId="77777777" w:rsidR="00492810" w:rsidRPr="00443329" w:rsidRDefault="00492810" w:rsidP="003C20C6">
      <w:pPr>
        <w:pStyle w:val="Prrafodelista"/>
        <w:numPr>
          <w:ilvl w:val="0"/>
          <w:numId w:val="27"/>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Clase de contribuyente</w:t>
      </w:r>
    </w:p>
    <w:p w14:paraId="31727605" w14:textId="77777777" w:rsidR="00492810" w:rsidRPr="00443329" w:rsidRDefault="00492810" w:rsidP="003C20C6">
      <w:pPr>
        <w:pStyle w:val="Prrafodelista"/>
        <w:numPr>
          <w:ilvl w:val="0"/>
          <w:numId w:val="27"/>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Estado del establecimiento</w:t>
      </w:r>
    </w:p>
    <w:p w14:paraId="0F267BC8" w14:textId="77777777" w:rsidR="00492810" w:rsidRPr="00443329" w:rsidRDefault="00492810" w:rsidP="003C20C6">
      <w:pPr>
        <w:pStyle w:val="Prrafodelista"/>
        <w:numPr>
          <w:ilvl w:val="0"/>
          <w:numId w:val="27"/>
        </w:numPr>
        <w:tabs>
          <w:tab w:val="left" w:pos="709"/>
        </w:tabs>
        <w:spacing w:after="0"/>
        <w:ind w:left="283" w:hanging="283"/>
        <w:rPr>
          <w:rFonts w:ascii="Century Gothic" w:hAnsi="Century Gothic"/>
          <w:color w:val="595959" w:themeColor="text1" w:themeTint="A6"/>
          <w:sz w:val="24"/>
        </w:rPr>
      </w:pPr>
      <w:r w:rsidRPr="00443329">
        <w:rPr>
          <w:rFonts w:ascii="Century Gothic" w:hAnsi="Century Gothic"/>
          <w:color w:val="595959" w:themeColor="text1" w:themeTint="A6"/>
          <w:sz w:val="24"/>
        </w:rPr>
        <w:t>Estado del tipo de unidad legal</w:t>
      </w:r>
    </w:p>
    <w:p w14:paraId="52675297"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b/>
          <w:color w:val="595959" w:themeColor="text1" w:themeTint="A6"/>
        </w:rPr>
        <w:tab/>
      </w:r>
    </w:p>
    <w:p w14:paraId="60D847C4" w14:textId="77777777" w:rsidR="00492810" w:rsidRPr="00443329" w:rsidRDefault="00492810" w:rsidP="00443329">
      <w:pPr>
        <w:tabs>
          <w:tab w:val="left" w:pos="993"/>
        </w:tabs>
        <w:jc w:val="both"/>
        <w:rPr>
          <w:rFonts w:ascii="Century Gothic" w:hAnsi="Century Gothic"/>
          <w:b/>
          <w:bCs/>
          <w:color w:val="505685"/>
          <w14:textFill>
            <w14:solidFill>
              <w14:srgbClr w14:val="505685">
                <w14:lumMod w14:val="65000"/>
                <w14:lumOff w14:val="35000"/>
              </w14:srgbClr>
            </w14:solidFill>
          </w14:textFill>
        </w:rPr>
      </w:pPr>
      <w:r w:rsidRPr="00443329">
        <w:rPr>
          <w:rFonts w:ascii="Century Gothic" w:hAnsi="Century Gothic"/>
          <w:b/>
          <w:bCs/>
          <w:color w:val="505685"/>
          <w14:textFill>
            <w14:solidFill>
              <w14:srgbClr w14:val="505685">
                <w14:lumMod w14:val="65000"/>
                <w14:lumOff w14:val="35000"/>
              </w14:srgbClr>
            </w14:solidFill>
          </w14:textFill>
        </w:rPr>
        <w:t>Continuidad de las empresas</w:t>
      </w:r>
    </w:p>
    <w:p w14:paraId="64460D08" w14:textId="77777777" w:rsidR="00492810" w:rsidRPr="00527E0F" w:rsidRDefault="00492810" w:rsidP="00443329">
      <w:pPr>
        <w:tabs>
          <w:tab w:val="left" w:pos="993"/>
        </w:tabs>
        <w:jc w:val="both"/>
        <w:rPr>
          <w:rFonts w:ascii="Century Gothic" w:hAnsi="Century Gothic"/>
          <w:color w:val="595959" w:themeColor="text1" w:themeTint="A6"/>
        </w:rPr>
      </w:pPr>
    </w:p>
    <w:p w14:paraId="6E6EDC25"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Para aplicar recomendaciones internacionales en torno a directorios de empresas, así como buenas prácticas establecidas por la EUROSTAT, desde el año 2015 se inició el proceso para dar continuidad a las empresas cuando estas cambian de unidad legal, como un primer paso para el estudio de la demografía empresarial.</w:t>
      </w:r>
    </w:p>
    <w:p w14:paraId="2E007B64" w14:textId="77777777" w:rsidR="00492810" w:rsidRPr="00527E0F" w:rsidRDefault="00492810" w:rsidP="00443329">
      <w:pPr>
        <w:tabs>
          <w:tab w:val="left" w:pos="993"/>
        </w:tabs>
        <w:jc w:val="both"/>
        <w:rPr>
          <w:rFonts w:ascii="Century Gothic" w:hAnsi="Century Gothic"/>
          <w:color w:val="595959" w:themeColor="text1" w:themeTint="A6"/>
        </w:rPr>
      </w:pPr>
    </w:p>
    <w:p w14:paraId="638A8038"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La realidad de las empresas es cambiante, motivo por el cual es ineludible adoptar un esquema de tratamiento de unidades económicas dinámico dentro del DIEE; de otra manera no sería posible capturar los sucesos o actos jurídicos que determinan la permanencia de las empresas en el tiempo, como son: cambios de RUC, cambios de actividad económica y/o ubicación geográfica, fusiones, escisiones y/o transformaciones. </w:t>
      </w:r>
    </w:p>
    <w:p w14:paraId="5365DCD4" w14:textId="77777777" w:rsidR="00492810" w:rsidRPr="00527E0F" w:rsidRDefault="00492810" w:rsidP="00443329">
      <w:pPr>
        <w:tabs>
          <w:tab w:val="left" w:pos="993"/>
        </w:tabs>
        <w:jc w:val="both"/>
        <w:rPr>
          <w:rFonts w:ascii="Century Gothic" w:hAnsi="Century Gothic"/>
          <w:color w:val="595959" w:themeColor="text1" w:themeTint="A6"/>
        </w:rPr>
      </w:pPr>
    </w:p>
    <w:p w14:paraId="05D58DDB" w14:textId="13D169BE"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Puesto que las grandes y medianas empresas son las que más aportan a la economía del país </w:t>
      </w:r>
      <w:r w:rsidR="00CF0C1E" w:rsidRPr="00527E0F">
        <w:rPr>
          <w:rFonts w:ascii="Century Gothic" w:hAnsi="Century Gothic"/>
          <w:color w:val="595959" w:themeColor="text1" w:themeTint="A6"/>
        </w:rPr>
        <w:t>y son</w:t>
      </w:r>
      <w:r w:rsidRPr="00527E0F">
        <w:rPr>
          <w:rFonts w:ascii="Century Gothic" w:hAnsi="Century Gothic"/>
          <w:color w:val="595959" w:themeColor="text1" w:themeTint="A6"/>
        </w:rPr>
        <w:t xml:space="preserve"> el objetivo principal de encuestas económicas</w:t>
      </w:r>
      <w:r w:rsidR="0025196A">
        <w:rPr>
          <w:rFonts w:ascii="Century Gothic" w:hAnsi="Century Gothic"/>
          <w:color w:val="595959" w:themeColor="text1" w:themeTint="A6"/>
        </w:rPr>
        <w:t>,</w:t>
      </w:r>
      <w:r w:rsidRPr="00527E0F">
        <w:rPr>
          <w:rFonts w:ascii="Century Gothic" w:hAnsi="Century Gothic"/>
          <w:color w:val="595959" w:themeColor="text1" w:themeTint="A6"/>
        </w:rPr>
        <w:t xml:space="preserve"> la fase de implementación de la continuidad de empresas se enfocó en este segmento, además, por la posibilidad de acceder a documentación formal y retroalimentación que puede generarse de otras fuentes.</w:t>
      </w:r>
    </w:p>
    <w:p w14:paraId="6CAFC00E" w14:textId="77777777" w:rsidR="00492810" w:rsidRPr="00527E0F" w:rsidRDefault="00492810" w:rsidP="00443329">
      <w:pPr>
        <w:tabs>
          <w:tab w:val="left" w:pos="993"/>
        </w:tabs>
        <w:jc w:val="both"/>
        <w:rPr>
          <w:rFonts w:ascii="Century Gothic" w:hAnsi="Century Gothic"/>
          <w:color w:val="595959" w:themeColor="text1" w:themeTint="A6"/>
        </w:rPr>
      </w:pPr>
    </w:p>
    <w:p w14:paraId="2D67CD73"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 xml:space="preserve">En este proceso es necesario considerar criterios que contemplan la continuidad económica de una empresa; la EUROSTAT establece tres componentes básicos relacionados a la continuidad, estos son: unidad de control, actividad económica y localización física. Si existiesen cambios en dos de los tres componentes se establece que no hay continuidad y es necesaria la creación de otra empresa. </w:t>
      </w:r>
    </w:p>
    <w:p w14:paraId="02419211" w14:textId="77777777" w:rsidR="00492810" w:rsidRPr="00527E0F" w:rsidRDefault="00492810" w:rsidP="00443329">
      <w:pPr>
        <w:tabs>
          <w:tab w:val="left" w:pos="993"/>
        </w:tabs>
        <w:jc w:val="both"/>
        <w:rPr>
          <w:rFonts w:ascii="Century Gothic" w:hAnsi="Century Gothic"/>
          <w:color w:val="595959" w:themeColor="text1" w:themeTint="A6"/>
        </w:rPr>
      </w:pPr>
    </w:p>
    <w:p w14:paraId="288D4F1F"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En cada componente se debe tomar en cuenta las variables que intervienen y los cambios que podrían presentarse, tales como:</w:t>
      </w:r>
    </w:p>
    <w:p w14:paraId="7F547AF5" w14:textId="77777777" w:rsidR="00F67524" w:rsidRPr="00F67524" w:rsidRDefault="00F67524" w:rsidP="00F67524"/>
    <w:p w14:paraId="66FE0768" w14:textId="7C662562" w:rsidR="00492810" w:rsidRPr="00443329" w:rsidRDefault="00492810" w:rsidP="00492810">
      <w:pPr>
        <w:pStyle w:val="Descripcin"/>
        <w:spacing w:after="0" w:line="276" w:lineRule="auto"/>
        <w:jc w:val="left"/>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    </w:t>
      </w:r>
      <w:bookmarkStart w:id="153" w:name="_Toc117591180"/>
      <w:r w:rsidRPr="00443329">
        <w:rPr>
          <w:rFonts w:ascii="Century Gothic" w:hAnsi="Century Gothic"/>
          <w:color w:val="595959" w:themeColor="text1" w:themeTint="A6"/>
          <w:sz w:val="24"/>
        </w:rPr>
        <w:t xml:space="preserve">Tabla </w:t>
      </w:r>
      <w:r w:rsidRPr="00443329">
        <w:rPr>
          <w:rFonts w:ascii="Century Gothic" w:hAnsi="Century Gothic"/>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sz w:val="24"/>
        </w:rPr>
        <w:fldChar w:fldCharType="separate"/>
      </w:r>
      <w:r w:rsidR="004E3F87">
        <w:rPr>
          <w:rFonts w:ascii="Century Gothic" w:hAnsi="Century Gothic"/>
          <w:noProof/>
          <w:color w:val="595959" w:themeColor="text1" w:themeTint="A6"/>
          <w:sz w:val="24"/>
        </w:rPr>
        <w:t>4</w:t>
      </w:r>
      <w:r w:rsidRPr="00443329">
        <w:rPr>
          <w:rFonts w:ascii="Century Gothic" w:hAnsi="Century Gothic"/>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Variables que determinan la continuidad de empresas</w:t>
      </w:r>
      <w:bookmarkEnd w:id="153"/>
    </w:p>
    <w:tbl>
      <w:tblPr>
        <w:tblW w:w="8198" w:type="dxa"/>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5930"/>
      </w:tblGrid>
      <w:tr w:rsidR="00CF0C1E" w:rsidRPr="00527E0F" w14:paraId="0222B6AA" w14:textId="77777777" w:rsidTr="00CF0C1E">
        <w:trPr>
          <w:trHeight w:val="510"/>
        </w:trPr>
        <w:tc>
          <w:tcPr>
            <w:tcW w:w="2268" w:type="dxa"/>
            <w:shd w:val="clear" w:color="auto" w:fill="1F3864" w:themeFill="accent1" w:themeFillShade="80"/>
            <w:vAlign w:val="center"/>
            <w:hideMark/>
          </w:tcPr>
          <w:p w14:paraId="3A6F0B1B" w14:textId="77777777" w:rsidR="00492810" w:rsidRPr="00443329" w:rsidRDefault="00492810" w:rsidP="00CF0C1E">
            <w:pPr>
              <w:jc w:val="center"/>
              <w:rPr>
                <w:rFonts w:ascii="Century Gothic" w:hAnsi="Century Gothic"/>
                <w:b/>
                <w:color w:val="FFFFFF" w:themeColor="background1"/>
              </w:rPr>
            </w:pPr>
            <w:r w:rsidRPr="00443329">
              <w:rPr>
                <w:rFonts w:ascii="Century Gothic" w:hAnsi="Century Gothic"/>
                <w:b/>
                <w:color w:val="FFFFFF" w:themeColor="background1"/>
              </w:rPr>
              <w:t>Factor Productivo</w:t>
            </w:r>
          </w:p>
        </w:tc>
        <w:tc>
          <w:tcPr>
            <w:tcW w:w="5930" w:type="dxa"/>
            <w:shd w:val="clear" w:color="auto" w:fill="1F3864" w:themeFill="accent1" w:themeFillShade="80"/>
            <w:vAlign w:val="center"/>
            <w:hideMark/>
          </w:tcPr>
          <w:p w14:paraId="5109DAFB"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Tipo de Cambio</w:t>
            </w:r>
          </w:p>
        </w:tc>
      </w:tr>
      <w:tr w:rsidR="00CF0C1E" w:rsidRPr="00527E0F" w14:paraId="2FE76230" w14:textId="77777777" w:rsidTr="00CF0C1E">
        <w:trPr>
          <w:trHeight w:val="701"/>
        </w:trPr>
        <w:tc>
          <w:tcPr>
            <w:tcW w:w="2268" w:type="dxa"/>
            <w:shd w:val="clear" w:color="000000" w:fill="FFFFFF"/>
            <w:noWrap/>
            <w:vAlign w:val="center"/>
          </w:tcPr>
          <w:p w14:paraId="08C64551"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rPr>
            </w:pPr>
            <w:r w:rsidRPr="00443329">
              <w:rPr>
                <w:rFonts w:ascii="Century Gothic" w:hAnsi="Century Gothic"/>
                <w:color w:val="595959" w:themeColor="text1" w:themeTint="A6"/>
              </w:rPr>
              <w:t>Unidad de control</w:t>
            </w:r>
          </w:p>
        </w:tc>
        <w:tc>
          <w:tcPr>
            <w:tcW w:w="5930" w:type="dxa"/>
            <w:shd w:val="clear" w:color="000000" w:fill="FFFFFF"/>
            <w:vAlign w:val="center"/>
          </w:tcPr>
          <w:p w14:paraId="395DF8B0"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RUC</w:t>
            </w:r>
          </w:p>
          <w:p w14:paraId="651A549D"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razón social</w:t>
            </w:r>
          </w:p>
          <w:p w14:paraId="3E2CF00A"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tipo institucional o forma jurídica</w:t>
            </w:r>
          </w:p>
          <w:p w14:paraId="5D0183C7"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dueños</w:t>
            </w:r>
          </w:p>
          <w:p w14:paraId="1E294276"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Incremento mayor en 10 veces en el valor de los activos fijos, siempre que este sea superior a 100.000</w:t>
            </w:r>
          </w:p>
        </w:tc>
      </w:tr>
      <w:tr w:rsidR="00CF0C1E" w:rsidRPr="00527E0F" w14:paraId="439F3923" w14:textId="77777777" w:rsidTr="00CF0C1E">
        <w:trPr>
          <w:trHeight w:val="701"/>
        </w:trPr>
        <w:tc>
          <w:tcPr>
            <w:tcW w:w="2268" w:type="dxa"/>
            <w:shd w:val="clear" w:color="000000" w:fill="FFFFFF"/>
            <w:noWrap/>
            <w:vAlign w:val="center"/>
          </w:tcPr>
          <w:p w14:paraId="5AAEA38D"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rPr>
            </w:pPr>
            <w:r w:rsidRPr="00443329">
              <w:rPr>
                <w:rFonts w:ascii="Century Gothic" w:hAnsi="Century Gothic"/>
                <w:color w:val="595959" w:themeColor="text1" w:themeTint="A6"/>
              </w:rPr>
              <w:t>Actividad económica</w:t>
            </w:r>
          </w:p>
        </w:tc>
        <w:tc>
          <w:tcPr>
            <w:tcW w:w="5930" w:type="dxa"/>
            <w:shd w:val="clear" w:color="000000" w:fill="FFFFFF"/>
            <w:vAlign w:val="center"/>
          </w:tcPr>
          <w:p w14:paraId="78C54970"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actividad económica a 4 dígitos</w:t>
            </w:r>
          </w:p>
        </w:tc>
      </w:tr>
      <w:tr w:rsidR="00CF0C1E" w:rsidRPr="00527E0F" w14:paraId="56C93908" w14:textId="77777777" w:rsidTr="00CF0C1E">
        <w:trPr>
          <w:trHeight w:val="701"/>
        </w:trPr>
        <w:tc>
          <w:tcPr>
            <w:tcW w:w="2268" w:type="dxa"/>
            <w:shd w:val="clear" w:color="000000" w:fill="FFFFFF"/>
            <w:noWrap/>
            <w:vAlign w:val="center"/>
          </w:tcPr>
          <w:p w14:paraId="4E5FB979"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rPr>
            </w:pPr>
            <w:r w:rsidRPr="00443329">
              <w:rPr>
                <w:rFonts w:ascii="Century Gothic" w:hAnsi="Century Gothic"/>
                <w:color w:val="595959" w:themeColor="text1" w:themeTint="A6"/>
              </w:rPr>
              <w:t>Localización física</w:t>
            </w:r>
          </w:p>
        </w:tc>
        <w:tc>
          <w:tcPr>
            <w:tcW w:w="5930" w:type="dxa"/>
            <w:shd w:val="clear" w:color="000000" w:fill="FFFFFF"/>
            <w:vAlign w:val="center"/>
          </w:tcPr>
          <w:p w14:paraId="495B34EB"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cantón</w:t>
            </w:r>
          </w:p>
          <w:p w14:paraId="4B09ECAB" w14:textId="77777777" w:rsidR="00492810" w:rsidRPr="00443329" w:rsidRDefault="00492810" w:rsidP="00CF0C1E">
            <w:pPr>
              <w:widowControl w:val="0"/>
              <w:tabs>
                <w:tab w:val="left" w:pos="1560"/>
                <w:tab w:val="left" w:pos="1980"/>
                <w:tab w:val="left" w:pos="3220"/>
                <w:tab w:val="left" w:pos="3520"/>
                <w:tab w:val="left" w:pos="3880"/>
                <w:tab w:val="left" w:pos="5040"/>
                <w:tab w:val="left" w:pos="5740"/>
                <w:tab w:val="left" w:pos="6660"/>
                <w:tab w:val="left" w:pos="7080"/>
                <w:tab w:val="left" w:pos="7880"/>
              </w:tabs>
              <w:autoSpaceDE w:val="0"/>
              <w:autoSpaceDN w:val="0"/>
              <w:adjustRightInd w:val="0"/>
              <w:ind w:right="89"/>
              <w:rPr>
                <w:rFonts w:ascii="Century Gothic" w:hAnsi="Century Gothic"/>
                <w:color w:val="595959" w:themeColor="text1" w:themeTint="A6"/>
                <w:szCs w:val="22"/>
              </w:rPr>
            </w:pPr>
            <w:r w:rsidRPr="00443329">
              <w:rPr>
                <w:rFonts w:ascii="Century Gothic" w:hAnsi="Century Gothic"/>
                <w:color w:val="595959" w:themeColor="text1" w:themeTint="A6"/>
              </w:rPr>
              <w:t>Cambio de área urbano – rural para actividades de comercio y servicio.</w:t>
            </w:r>
          </w:p>
        </w:tc>
      </w:tr>
    </w:tbl>
    <w:p w14:paraId="009DCABE" w14:textId="77777777" w:rsidR="00492810" w:rsidRPr="00527E0F" w:rsidRDefault="00492810" w:rsidP="00CF0C1E">
      <w:pPr>
        <w:tabs>
          <w:tab w:val="left" w:pos="993"/>
        </w:tabs>
        <w:rPr>
          <w:rFonts w:ascii="Century Gothic" w:hAnsi="Century Gothic"/>
          <w:color w:val="595959" w:themeColor="text1" w:themeTint="A6"/>
        </w:rPr>
      </w:pPr>
    </w:p>
    <w:p w14:paraId="433E51B8"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Otro elemento importante que determina la continuidad son los actos jurídicos que tienen las empresas, los cuales afectan directamente a la demografía y continuidad de las mismas, estos son: fusiones, absorciones, escisiones o liquidaciones.</w:t>
      </w:r>
    </w:p>
    <w:p w14:paraId="48D1E020" w14:textId="77777777" w:rsidR="00492810" w:rsidRPr="00527E0F" w:rsidRDefault="00492810" w:rsidP="00443329">
      <w:pPr>
        <w:tabs>
          <w:tab w:val="left" w:pos="993"/>
        </w:tabs>
        <w:jc w:val="both"/>
        <w:rPr>
          <w:rFonts w:ascii="Century Gothic" w:hAnsi="Century Gothic"/>
          <w:color w:val="595959" w:themeColor="text1" w:themeTint="A6"/>
        </w:rPr>
      </w:pPr>
    </w:p>
    <w:p w14:paraId="36901520" w14:textId="00E7C4BA"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lang w:val="es-ES"/>
        </w:rPr>
        <w:t>La continuidad de las empresas en el DIEE 20</w:t>
      </w:r>
      <w:r w:rsidR="00D8328C">
        <w:rPr>
          <w:rFonts w:ascii="Century Gothic" w:hAnsi="Century Gothic"/>
          <w:color w:val="595959" w:themeColor="text1" w:themeTint="A6"/>
          <w:lang w:val="es-ES"/>
        </w:rPr>
        <w:t>2</w:t>
      </w:r>
      <w:r w:rsidR="00262C53">
        <w:rPr>
          <w:rFonts w:ascii="Century Gothic" w:hAnsi="Century Gothic"/>
          <w:color w:val="595959" w:themeColor="text1" w:themeTint="A6"/>
          <w:lang w:val="es-ES"/>
        </w:rPr>
        <w:t>1</w:t>
      </w:r>
      <w:r w:rsidRPr="00527E0F">
        <w:rPr>
          <w:rFonts w:ascii="Century Gothic" w:hAnsi="Century Gothic"/>
          <w:color w:val="595959" w:themeColor="text1" w:themeTint="A6"/>
          <w:lang w:val="es-ES"/>
        </w:rPr>
        <w:t>, considera los cambios registrados por actos jurídicos celebrados durante el periodo de referencia: fusiones, absorciones y disoluciones por los cuales una unidad legal se unifica con otra(s), así mismo contempla los cambios suscitados en dos de los tres criterios definidos por la EUROSTAT. La unificación de las empresas se realiza a través de la variable “identificador de empresa”</w:t>
      </w:r>
      <w:r w:rsidRPr="00527E0F">
        <w:rPr>
          <w:rStyle w:val="Refdenotaalpie"/>
          <w:rFonts w:ascii="Century Gothic" w:hAnsi="Century Gothic"/>
          <w:color w:val="595959" w:themeColor="text1" w:themeTint="A6"/>
          <w:lang w:val="es-ES"/>
        </w:rPr>
        <w:footnoteReference w:id="12"/>
      </w:r>
      <w:r w:rsidRPr="00527E0F">
        <w:rPr>
          <w:rFonts w:ascii="Century Gothic" w:hAnsi="Century Gothic"/>
          <w:color w:val="595959" w:themeColor="text1" w:themeTint="A6"/>
          <w:lang w:val="es-ES"/>
        </w:rPr>
        <w:t>, el cual, al ser un código único, permite realizar un seguimiento a nivel histórico de cada una de las empresas.</w:t>
      </w:r>
    </w:p>
    <w:p w14:paraId="6F372574" w14:textId="77777777" w:rsidR="00492810" w:rsidRPr="00527E0F" w:rsidRDefault="00492810" w:rsidP="00443329">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Se unifican además las unidades legales que aparecen por primera vez, pero están relacionadas con otras ya existentes. Para este proceso, es necesario recurrir a fuentes oficiales como la Superintendencia de Compañías y/o novedades reportadas por las encuestas empresariales del INEC. La unidad legal corresponde al RUC con el cual el SRI transmite la información de los contribuyentes, sin embargo, una empresa puede estar soportada legalmente por varias unidades legales.</w:t>
      </w:r>
    </w:p>
    <w:p w14:paraId="31A4C94E" w14:textId="77777777" w:rsidR="00492810" w:rsidRPr="00527E0F" w:rsidRDefault="00492810" w:rsidP="00443329">
      <w:pPr>
        <w:tabs>
          <w:tab w:val="left" w:pos="993"/>
        </w:tabs>
        <w:jc w:val="both"/>
        <w:rPr>
          <w:rFonts w:ascii="Century Gothic" w:hAnsi="Century Gothic"/>
          <w:color w:val="595959" w:themeColor="text1" w:themeTint="A6"/>
        </w:rPr>
      </w:pPr>
    </w:p>
    <w:p w14:paraId="19CB7A0C" w14:textId="6C5A2ACD" w:rsidR="00492810" w:rsidRDefault="00492810" w:rsidP="009B7728">
      <w:pPr>
        <w:tabs>
          <w:tab w:val="left" w:pos="993"/>
        </w:tabs>
        <w:jc w:val="both"/>
        <w:rPr>
          <w:rFonts w:ascii="Century Gothic" w:hAnsi="Century Gothic"/>
          <w:color w:val="595959" w:themeColor="text1" w:themeTint="A6"/>
        </w:rPr>
      </w:pPr>
      <w:r w:rsidRPr="00527E0F">
        <w:rPr>
          <w:rFonts w:ascii="Century Gothic" w:hAnsi="Century Gothic"/>
          <w:color w:val="595959" w:themeColor="text1" w:themeTint="A6"/>
        </w:rPr>
        <w:t>La metodología desarrollada para tratar la continuidad de la empresa, así como otras variables propias del tema, se encuentran en el anexo 1.</w:t>
      </w:r>
    </w:p>
    <w:p w14:paraId="5A28FA13" w14:textId="77777777" w:rsidR="00CF0C1E" w:rsidRPr="00527E0F" w:rsidRDefault="00CF0C1E" w:rsidP="00CF0C1E">
      <w:pPr>
        <w:tabs>
          <w:tab w:val="left" w:pos="993"/>
        </w:tabs>
        <w:jc w:val="both"/>
        <w:rPr>
          <w:rFonts w:ascii="Century Gothic" w:hAnsi="Century Gothic"/>
          <w:color w:val="595959" w:themeColor="text1" w:themeTint="A6"/>
        </w:rPr>
      </w:pPr>
    </w:p>
    <w:p w14:paraId="2E15E77E" w14:textId="77777777" w:rsidR="00492810" w:rsidRPr="00176DC8" w:rsidRDefault="00492810" w:rsidP="00443329">
      <w:pPr>
        <w:pStyle w:val="SUBTITULOINEC"/>
        <w:ind w:left="708"/>
        <w:jc w:val="left"/>
        <w:rPr>
          <w:sz w:val="32"/>
          <w:szCs w:val="32"/>
        </w:rPr>
      </w:pPr>
      <w:bookmarkStart w:id="154" w:name="_Toc53757426"/>
      <w:r w:rsidRPr="00176DC8">
        <w:rPr>
          <w:sz w:val="32"/>
          <w:szCs w:val="32"/>
        </w:rPr>
        <w:t>1.3.3 Nomenclaturas y clasificaciones</w:t>
      </w:r>
      <w:bookmarkEnd w:id="154"/>
    </w:p>
    <w:p w14:paraId="195E8B0B" w14:textId="4F32957D" w:rsidR="00492810" w:rsidRPr="00527E0F" w:rsidRDefault="00492810" w:rsidP="00CF0C1E">
      <w:pPr>
        <w:tabs>
          <w:tab w:val="left" w:pos="284"/>
        </w:tabs>
        <w:spacing w:before="240"/>
        <w:rPr>
          <w:rFonts w:ascii="Century Gothic" w:hAnsi="Century Gothic"/>
          <w:color w:val="595959" w:themeColor="text1" w:themeTint="A6"/>
        </w:rPr>
      </w:pPr>
      <w:r w:rsidRPr="00527E0F">
        <w:rPr>
          <w:rFonts w:ascii="Century Gothic" w:hAnsi="Century Gothic"/>
          <w:color w:val="595959" w:themeColor="text1" w:themeTint="A6"/>
        </w:rPr>
        <w:t>Las clasificaciones y nomenclaturas que se emplean en el Directorio de Empresas y Establecimientos son:</w:t>
      </w:r>
    </w:p>
    <w:p w14:paraId="5B08D64C" w14:textId="77777777" w:rsidR="00492810" w:rsidRPr="00443329" w:rsidRDefault="00492810" w:rsidP="00CF0C1E">
      <w:pPr>
        <w:rPr>
          <w:rFonts w:ascii="Century Gothic" w:hAnsi="Century Gothic"/>
          <w:color w:val="595959" w:themeColor="text1" w:themeTint="A6"/>
        </w:rPr>
      </w:pPr>
    </w:p>
    <w:p w14:paraId="7D120F60" w14:textId="5D479026" w:rsidR="00492810" w:rsidRPr="00443329" w:rsidRDefault="00492810" w:rsidP="003C20C6">
      <w:pPr>
        <w:pStyle w:val="Prrafodelista"/>
        <w:widowControl w:val="0"/>
        <w:numPr>
          <w:ilvl w:val="0"/>
          <w:numId w:val="16"/>
        </w:numPr>
        <w:autoSpaceDE w:val="0"/>
        <w:autoSpaceDN w:val="0"/>
        <w:adjustRightInd w:val="0"/>
        <w:spacing w:after="0"/>
        <w:ind w:left="709" w:right="93" w:hanging="283"/>
        <w:rPr>
          <w:rFonts w:ascii="Century Gothic" w:hAnsi="Century Gothic"/>
          <w:color w:val="595959" w:themeColor="text1" w:themeTint="A6"/>
          <w:sz w:val="24"/>
        </w:rPr>
      </w:pPr>
      <w:r w:rsidRPr="00443329">
        <w:rPr>
          <w:rFonts w:ascii="Century Gothic" w:hAnsi="Century Gothic"/>
          <w:color w:val="595959" w:themeColor="text1" w:themeTint="A6"/>
          <w:sz w:val="24"/>
        </w:rPr>
        <w:t>La Clasificación Industrial Internacional Uniforme de todas las Activid</w:t>
      </w:r>
      <w:r w:rsidR="0025196A">
        <w:rPr>
          <w:rFonts w:ascii="Century Gothic" w:hAnsi="Century Gothic"/>
          <w:color w:val="595959" w:themeColor="text1" w:themeTint="A6"/>
          <w:sz w:val="24"/>
        </w:rPr>
        <w:t>ades Económicas (CIIU- Rev. 4)</w:t>
      </w:r>
    </w:p>
    <w:p w14:paraId="38E4DA0D" w14:textId="59904DF6" w:rsidR="00492810" w:rsidRPr="00176DC8" w:rsidRDefault="00492810" w:rsidP="003C20C6">
      <w:pPr>
        <w:pStyle w:val="Prrafodelista"/>
        <w:widowControl w:val="0"/>
        <w:numPr>
          <w:ilvl w:val="0"/>
          <w:numId w:val="16"/>
        </w:numPr>
        <w:autoSpaceDE w:val="0"/>
        <w:autoSpaceDN w:val="0"/>
        <w:adjustRightInd w:val="0"/>
        <w:spacing w:after="0"/>
        <w:ind w:left="709" w:right="93" w:hanging="283"/>
        <w:rPr>
          <w:rFonts w:ascii="Century Gothic" w:hAnsi="Century Gothic"/>
          <w:b/>
          <w:color w:val="595959" w:themeColor="text1" w:themeTint="A6"/>
          <w:sz w:val="24"/>
        </w:rPr>
      </w:pPr>
      <w:r w:rsidRPr="00443329">
        <w:rPr>
          <w:rFonts w:ascii="Century Gothic" w:hAnsi="Century Gothic"/>
          <w:color w:val="595959" w:themeColor="text1" w:themeTint="A6"/>
          <w:sz w:val="24"/>
        </w:rPr>
        <w:t>El Clasificador Geográfico Estadístico</w:t>
      </w:r>
      <w:r w:rsidRPr="00443329">
        <w:rPr>
          <w:rStyle w:val="Refdenotaalpie"/>
          <w:rFonts w:ascii="Century Gothic" w:hAnsi="Century Gothic"/>
          <w:color w:val="595959" w:themeColor="text1" w:themeTint="A6"/>
          <w:sz w:val="24"/>
        </w:rPr>
        <w:footnoteReference w:id="13"/>
      </w:r>
    </w:p>
    <w:p w14:paraId="3F58C599" w14:textId="77777777" w:rsidR="00176DC8" w:rsidRPr="001056B6" w:rsidRDefault="00176DC8" w:rsidP="00176DC8">
      <w:pPr>
        <w:pStyle w:val="Prrafodelista"/>
        <w:widowControl w:val="0"/>
        <w:autoSpaceDE w:val="0"/>
        <w:autoSpaceDN w:val="0"/>
        <w:adjustRightInd w:val="0"/>
        <w:spacing w:after="0"/>
        <w:ind w:left="709" w:right="93"/>
        <w:rPr>
          <w:rFonts w:ascii="Century Gothic" w:hAnsi="Century Gothic"/>
          <w:b/>
          <w:color w:val="595959" w:themeColor="text1" w:themeTint="A6"/>
          <w:sz w:val="24"/>
        </w:rPr>
      </w:pPr>
    </w:p>
    <w:p w14:paraId="650D52C8" w14:textId="77777777" w:rsidR="00492810" w:rsidRPr="00176DC8" w:rsidRDefault="00492810" w:rsidP="00443329">
      <w:pPr>
        <w:pStyle w:val="SUBTITULOINEC"/>
        <w:numPr>
          <w:ilvl w:val="1"/>
          <w:numId w:val="33"/>
        </w:numPr>
        <w:jc w:val="both"/>
        <w:rPr>
          <w:sz w:val="32"/>
          <w:szCs w:val="32"/>
        </w:rPr>
      </w:pPr>
      <w:bookmarkStart w:id="155" w:name="_Toc53757427"/>
      <w:bookmarkStart w:id="156" w:name="_Toc412907381"/>
      <w:r w:rsidRPr="00176DC8">
        <w:rPr>
          <w:sz w:val="32"/>
          <w:szCs w:val="32"/>
        </w:rPr>
        <w:t>Verificación y contraste de la disponibilidad de la información en fuentes oficiales</w:t>
      </w:r>
      <w:bookmarkEnd w:id="155"/>
    </w:p>
    <w:p w14:paraId="210C011D" w14:textId="77777777" w:rsidR="003512C1" w:rsidRDefault="003512C1" w:rsidP="00F67524">
      <w:pPr>
        <w:jc w:val="both"/>
        <w:rPr>
          <w:rFonts w:ascii="Century Gothic" w:hAnsi="Century Gothic"/>
          <w:color w:val="595959" w:themeColor="text1" w:themeTint="A6"/>
        </w:rPr>
      </w:pPr>
    </w:p>
    <w:p w14:paraId="3115B795" w14:textId="69F96E5E" w:rsidR="00492810" w:rsidRDefault="00492810" w:rsidP="00F67524">
      <w:pPr>
        <w:jc w:val="both"/>
        <w:rPr>
          <w:rFonts w:ascii="Century Gothic" w:hAnsi="Century Gothic"/>
          <w:color w:val="595959" w:themeColor="text1" w:themeTint="A6"/>
        </w:rPr>
      </w:pPr>
      <w:r w:rsidRPr="00527E0F">
        <w:rPr>
          <w:rFonts w:ascii="Century Gothic" w:hAnsi="Century Gothic"/>
          <w:color w:val="595959" w:themeColor="text1" w:themeTint="A6"/>
        </w:rPr>
        <w:t>El Directorio de Empresas y Establecimientos constituye la principal fuente que proporciona información de las empresas establecidas legalmente en el Ecuador, contando con un universo mayor al que ofrecen las estadísticas basadas en encuestas, la Superintendencia de Compañías y el Banco Central.</w:t>
      </w:r>
    </w:p>
    <w:p w14:paraId="5D0A9893" w14:textId="77777777" w:rsidR="00CF0C1E" w:rsidRPr="00527E0F" w:rsidRDefault="00CF0C1E" w:rsidP="00CF0C1E">
      <w:pPr>
        <w:jc w:val="both"/>
        <w:rPr>
          <w:rFonts w:ascii="Century Gothic" w:hAnsi="Century Gothic"/>
          <w:color w:val="595959" w:themeColor="text1" w:themeTint="A6"/>
        </w:rPr>
      </w:pPr>
    </w:p>
    <w:p w14:paraId="2930AF90" w14:textId="01876468" w:rsidR="00492810" w:rsidRDefault="00492810" w:rsidP="00F67524">
      <w:pPr>
        <w:jc w:val="both"/>
        <w:rPr>
          <w:rFonts w:ascii="Century Gothic" w:hAnsi="Century Gothic"/>
          <w:color w:val="595959" w:themeColor="text1" w:themeTint="A6"/>
        </w:rPr>
      </w:pPr>
      <w:r w:rsidRPr="00527E0F">
        <w:rPr>
          <w:rFonts w:ascii="Century Gothic" w:hAnsi="Century Gothic"/>
          <w:color w:val="595959" w:themeColor="text1" w:themeTint="A6"/>
        </w:rPr>
        <w:t xml:space="preserve">Para tener los insumos de información y construir el DIEE se cuenta con convenios de transferencia de información con instituciones públicas como el </w:t>
      </w:r>
      <w:r w:rsidR="0025196A">
        <w:rPr>
          <w:rFonts w:ascii="Century Gothic" w:hAnsi="Century Gothic"/>
          <w:color w:val="595959" w:themeColor="text1" w:themeTint="A6"/>
        </w:rPr>
        <w:t xml:space="preserve"> Servicios</w:t>
      </w:r>
      <w:r w:rsidR="009A2E7E">
        <w:rPr>
          <w:rFonts w:ascii="Century Gothic" w:hAnsi="Century Gothic"/>
          <w:color w:val="595959" w:themeColor="text1" w:themeTint="A6"/>
        </w:rPr>
        <w:t xml:space="preserve"> </w:t>
      </w:r>
      <w:r w:rsidRPr="00527E0F">
        <w:rPr>
          <w:rFonts w:ascii="Century Gothic" w:hAnsi="Century Gothic"/>
          <w:color w:val="595959" w:themeColor="text1" w:themeTint="A6"/>
        </w:rPr>
        <w:t>de Rentas Internas (2010) y el Instituto Ecuatoriano de Seguridad Social (2011 y 2014). Estas instituciones proporcionan la información primaria, actualizada y oportuna, que una vez procesada y validada, permite generar el directorio.</w:t>
      </w:r>
    </w:p>
    <w:p w14:paraId="43B78B5E" w14:textId="77777777" w:rsidR="00CF0C1E" w:rsidRPr="00527E0F" w:rsidRDefault="00CF0C1E" w:rsidP="00CF0C1E">
      <w:pPr>
        <w:jc w:val="both"/>
        <w:rPr>
          <w:rFonts w:ascii="Century Gothic" w:hAnsi="Century Gothic"/>
          <w:color w:val="595959" w:themeColor="text1" w:themeTint="A6"/>
        </w:rPr>
      </w:pPr>
    </w:p>
    <w:p w14:paraId="283BA0D0" w14:textId="108CBD4B" w:rsidR="00C56AC7" w:rsidRPr="00527E0F" w:rsidRDefault="00492810" w:rsidP="00C56AC7">
      <w:pPr>
        <w:jc w:val="both"/>
        <w:rPr>
          <w:rFonts w:ascii="Century Gothic" w:hAnsi="Century Gothic"/>
          <w:color w:val="595959" w:themeColor="text1" w:themeTint="A6"/>
        </w:rPr>
      </w:pPr>
      <w:r w:rsidRPr="00527E0F">
        <w:rPr>
          <w:rFonts w:ascii="Century Gothic" w:hAnsi="Century Gothic"/>
          <w:color w:val="595959" w:themeColor="text1" w:themeTint="A6"/>
        </w:rPr>
        <w:t>Parte de los procesos de validación consiste en revisar e incorporar, de ser necesario, novedades reportadas por las encuestas económicas empresariales que el INEC levanta. En los últimos años, se ha constituido una fuente importante de retroalimentación la Encuesta Empresarial Estructural (ENESEM) para variables relacionadas con actividad económica, ubicación geográfica, contactos, novedades de cambios de RUC y actos jurídicos</w:t>
      </w:r>
      <w:r w:rsidR="00C56AC7">
        <w:rPr>
          <w:rFonts w:ascii="Century Gothic" w:hAnsi="Century Gothic"/>
          <w:color w:val="595959" w:themeColor="text1" w:themeTint="A6"/>
        </w:rPr>
        <w:t>.</w:t>
      </w:r>
    </w:p>
    <w:p w14:paraId="6B04B5F8" w14:textId="10726B86" w:rsidR="00492810" w:rsidRDefault="00492810" w:rsidP="00F67524">
      <w:pPr>
        <w:jc w:val="both"/>
        <w:rPr>
          <w:rFonts w:ascii="Century Gothic" w:hAnsi="Century Gothic"/>
          <w:color w:val="595959" w:themeColor="text1" w:themeTint="A6"/>
        </w:rPr>
      </w:pPr>
      <w:r w:rsidRPr="00527E0F">
        <w:rPr>
          <w:rFonts w:ascii="Century Gothic" w:hAnsi="Century Gothic"/>
          <w:color w:val="595959" w:themeColor="text1" w:themeTint="A6"/>
        </w:rPr>
        <w:t>Existe otra fuente de verificación de información permanente denominada “Call Center” para casos en los cuales es necesario contrastar la información directamente con la empresa o establecimiento, generalmente de actividad económica y ubicación geográfica, especialmente cuando se trata de empresas grandes y medianas.</w:t>
      </w:r>
    </w:p>
    <w:p w14:paraId="55181806" w14:textId="77777777" w:rsidR="00C56AC7" w:rsidRPr="00527E0F" w:rsidRDefault="00C56AC7" w:rsidP="00C56AC7">
      <w:pPr>
        <w:jc w:val="both"/>
        <w:rPr>
          <w:rFonts w:ascii="Century Gothic" w:hAnsi="Century Gothic"/>
          <w:color w:val="595959" w:themeColor="text1" w:themeTint="A6"/>
        </w:rPr>
      </w:pPr>
    </w:p>
    <w:p w14:paraId="2EC5DA4A" w14:textId="77777777" w:rsidR="00492810" w:rsidRPr="00176DC8" w:rsidRDefault="00492810" w:rsidP="00443329">
      <w:pPr>
        <w:pStyle w:val="SUBTITULOINEC"/>
        <w:numPr>
          <w:ilvl w:val="1"/>
          <w:numId w:val="33"/>
        </w:numPr>
        <w:jc w:val="left"/>
        <w:rPr>
          <w:sz w:val="32"/>
          <w:szCs w:val="32"/>
        </w:rPr>
      </w:pPr>
      <w:bookmarkStart w:id="157" w:name="_Toc53757428"/>
      <w:bookmarkStart w:id="158" w:name="_Toc412998119"/>
      <w:r w:rsidRPr="00176DC8">
        <w:rPr>
          <w:sz w:val="32"/>
          <w:szCs w:val="32"/>
        </w:rPr>
        <w:t>Limitaciones del estudio</w:t>
      </w:r>
      <w:bookmarkEnd w:id="157"/>
    </w:p>
    <w:p w14:paraId="775411A3" w14:textId="5B3F9D47" w:rsidR="00492810"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El Directorio de Empresas posee un año de rezago en la información que publica</w:t>
      </w:r>
      <w:r w:rsidR="00C56AC7">
        <w:rPr>
          <w:rFonts w:ascii="Century Gothic" w:hAnsi="Century Gothic"/>
          <w:color w:val="595959" w:themeColor="text1" w:themeTint="A6"/>
        </w:rPr>
        <w:t>,</w:t>
      </w:r>
      <w:r w:rsidRPr="00527E0F">
        <w:rPr>
          <w:rFonts w:ascii="Century Gothic" w:hAnsi="Century Gothic"/>
          <w:color w:val="595959" w:themeColor="text1" w:themeTint="A6"/>
        </w:rPr>
        <w:t xml:space="preserve"> debido a que </w:t>
      </w:r>
      <w:r w:rsidR="00D8328C">
        <w:rPr>
          <w:rFonts w:ascii="Century Gothic" w:hAnsi="Century Gothic"/>
          <w:color w:val="595959" w:themeColor="text1" w:themeTint="A6"/>
        </w:rPr>
        <w:t xml:space="preserve">insume </w:t>
      </w:r>
      <w:r w:rsidR="001056B6" w:rsidRPr="00527E0F">
        <w:rPr>
          <w:rFonts w:ascii="Century Gothic" w:hAnsi="Century Gothic"/>
          <w:color w:val="595959" w:themeColor="text1" w:themeTint="A6"/>
        </w:rPr>
        <w:t>datos</w:t>
      </w:r>
      <w:r w:rsidRPr="00527E0F">
        <w:rPr>
          <w:rFonts w:ascii="Century Gothic" w:hAnsi="Century Gothic"/>
          <w:color w:val="595959" w:themeColor="text1" w:themeTint="A6"/>
        </w:rPr>
        <w:t xml:space="preserve"> </w:t>
      </w:r>
      <w:r w:rsidR="00C56AC7">
        <w:rPr>
          <w:rFonts w:ascii="Century Gothic" w:hAnsi="Century Gothic"/>
          <w:color w:val="595959" w:themeColor="text1" w:themeTint="A6"/>
        </w:rPr>
        <w:t xml:space="preserve">que </w:t>
      </w:r>
      <w:r w:rsidRPr="00527E0F">
        <w:rPr>
          <w:rFonts w:ascii="Century Gothic" w:hAnsi="Century Gothic"/>
          <w:color w:val="595959" w:themeColor="text1" w:themeTint="A6"/>
        </w:rPr>
        <w:t>provien</w:t>
      </w:r>
      <w:r w:rsidR="00C56AC7">
        <w:rPr>
          <w:rFonts w:ascii="Century Gothic" w:hAnsi="Century Gothic"/>
          <w:color w:val="595959" w:themeColor="text1" w:themeTint="A6"/>
        </w:rPr>
        <w:t xml:space="preserve">en </w:t>
      </w:r>
      <w:r w:rsidRPr="00527E0F">
        <w:rPr>
          <w:rFonts w:ascii="Century Gothic" w:hAnsi="Century Gothic"/>
          <w:color w:val="595959" w:themeColor="text1" w:themeTint="A6"/>
        </w:rPr>
        <w:t>de registros administrativos, por ello los resultados correspondientes al 20</w:t>
      </w:r>
      <w:r w:rsidR="00D8328C">
        <w:rPr>
          <w:rFonts w:ascii="Century Gothic" w:hAnsi="Century Gothic"/>
          <w:color w:val="595959" w:themeColor="text1" w:themeTint="A6"/>
        </w:rPr>
        <w:t>2</w:t>
      </w:r>
      <w:r w:rsidR="00A6234C">
        <w:rPr>
          <w:rFonts w:ascii="Century Gothic" w:hAnsi="Century Gothic"/>
          <w:color w:val="595959" w:themeColor="text1" w:themeTint="A6"/>
        </w:rPr>
        <w:t>1</w:t>
      </w:r>
      <w:r w:rsidRPr="00527E0F">
        <w:rPr>
          <w:rFonts w:ascii="Century Gothic" w:hAnsi="Century Gothic"/>
          <w:color w:val="595959" w:themeColor="text1" w:themeTint="A6"/>
        </w:rPr>
        <w:t xml:space="preserve"> se presentan en el cuarto trimestre del año 202</w:t>
      </w:r>
      <w:r w:rsidR="00A6234C">
        <w:rPr>
          <w:rFonts w:ascii="Century Gothic" w:hAnsi="Century Gothic"/>
          <w:color w:val="595959" w:themeColor="text1" w:themeTint="A6"/>
        </w:rPr>
        <w:t>2</w:t>
      </w:r>
      <w:r w:rsidRPr="00527E0F">
        <w:rPr>
          <w:rFonts w:ascii="Century Gothic" w:hAnsi="Century Gothic"/>
          <w:color w:val="595959" w:themeColor="text1" w:themeTint="A6"/>
        </w:rPr>
        <w:t xml:space="preserve"> de acuerdo al calendario estadístico. </w:t>
      </w:r>
    </w:p>
    <w:p w14:paraId="6F35825D" w14:textId="56C94CB5" w:rsidR="00492810" w:rsidRDefault="00492810" w:rsidP="00443329">
      <w:pPr>
        <w:jc w:val="both"/>
        <w:rPr>
          <w:rFonts w:ascii="Century Gothic" w:hAnsi="Century Gothic"/>
          <w:color w:val="595959" w:themeColor="text1" w:themeTint="A6"/>
        </w:rPr>
      </w:pPr>
    </w:p>
    <w:p w14:paraId="12AF32D7" w14:textId="663E2E75" w:rsidR="00BF7001" w:rsidRDefault="00BF7001" w:rsidP="00443329">
      <w:pPr>
        <w:jc w:val="both"/>
        <w:rPr>
          <w:rFonts w:ascii="Century Gothic" w:hAnsi="Century Gothic"/>
          <w:color w:val="595959" w:themeColor="text1" w:themeTint="A6"/>
        </w:rPr>
      </w:pPr>
      <w:r w:rsidRPr="000D4214">
        <w:rPr>
          <w:rFonts w:ascii="Century Gothic" w:hAnsi="Century Gothic"/>
          <w:color w:val="595959" w:themeColor="text1" w:themeTint="A6"/>
        </w:rPr>
        <w:t>El Directorio de Empresas 2021 dejó de contar con información de la variable “ventas totales”, procedentes del SRI, lo cual originó  limitaciones de cobertura, dado que es una de las principales variables de investigación para su construcción. Esta situación se produjo debido a la culminación del convenio de intercambio de información interinstitucional suscritos con el SRI, lo cual imposibilitó la transferencia de información del Servicio de Rentas Internas (SRI) al Instituto Nacional de Estadística y Censos (INEC). Este hecho implicó llevar a cabo gestiones adicionales para capturar información de fuentes externas disponibles, y además, se estableció métodos de imputación, a fin de aproximarse a la estructura real.</w:t>
      </w:r>
    </w:p>
    <w:p w14:paraId="343B56F6" w14:textId="77777777" w:rsidR="004C2B6D" w:rsidRPr="00527E0F" w:rsidRDefault="004C2B6D" w:rsidP="00443329">
      <w:pPr>
        <w:jc w:val="both"/>
        <w:rPr>
          <w:rFonts w:ascii="Century Gothic" w:hAnsi="Century Gothic"/>
          <w:color w:val="595959" w:themeColor="text1" w:themeTint="A6"/>
        </w:rPr>
      </w:pPr>
    </w:p>
    <w:p w14:paraId="407BC2CD" w14:textId="77777777" w:rsidR="00492810" w:rsidRDefault="00492810" w:rsidP="00443329">
      <w:pPr>
        <w:jc w:val="both"/>
        <w:rPr>
          <w:rFonts w:ascii="Century Gothic" w:hAnsi="Century Gothic"/>
          <w:color w:val="595959" w:themeColor="text1" w:themeTint="A6"/>
        </w:rPr>
      </w:pPr>
    </w:p>
    <w:p w14:paraId="6FDD6AA5" w14:textId="1C51212C" w:rsidR="00BF7001" w:rsidRDefault="00BF7001" w:rsidP="00443329">
      <w:pPr>
        <w:jc w:val="both"/>
        <w:rPr>
          <w:rFonts w:ascii="Century Gothic" w:hAnsi="Century Gothic"/>
          <w:color w:val="595959" w:themeColor="text1" w:themeTint="A6"/>
        </w:rPr>
      </w:pPr>
      <w:r w:rsidRPr="000D4214">
        <w:rPr>
          <w:rFonts w:ascii="Century Gothic" w:hAnsi="Century Gothic"/>
          <w:color w:val="595959" w:themeColor="text1" w:themeTint="A6"/>
        </w:rPr>
        <w:t>De igual manera, la base de establecimientos presenta limitaciones de cobertura debido a la falta de información de los establecimientos relacionados (unidades locales), que no cuentan con el proceso de validación y análisis que potencialmente podría generarse a partir de dicha información. En este sentido, para la construcción de la base se considera únicamente la información disponible en el Servicio de Rentas Internas.</w:t>
      </w:r>
    </w:p>
    <w:p w14:paraId="14819DCD" w14:textId="77777777" w:rsidR="00BF7001" w:rsidRPr="00527E0F" w:rsidRDefault="00BF7001" w:rsidP="00443329">
      <w:pPr>
        <w:jc w:val="both"/>
        <w:rPr>
          <w:rFonts w:ascii="Century Gothic" w:hAnsi="Century Gothic"/>
          <w:color w:val="595959" w:themeColor="text1" w:themeTint="A6"/>
        </w:rPr>
      </w:pPr>
    </w:p>
    <w:p w14:paraId="66ECFA54" w14:textId="0C63FB64" w:rsidR="00492810" w:rsidRDefault="00492810" w:rsidP="00F67524">
      <w:pPr>
        <w:jc w:val="both"/>
        <w:rPr>
          <w:rFonts w:ascii="Century Gothic" w:hAnsi="Century Gothic"/>
          <w:color w:val="595959" w:themeColor="text1" w:themeTint="A6"/>
        </w:rPr>
      </w:pPr>
      <w:r w:rsidRPr="00527E0F">
        <w:rPr>
          <w:rFonts w:ascii="Century Gothic" w:hAnsi="Century Gothic"/>
          <w:color w:val="595959" w:themeColor="text1" w:themeTint="A6"/>
        </w:rPr>
        <w:t xml:space="preserve">La información disponible de ubicación geográfica de las empresas constituye también una limitación de estudio, pues el domicilio que registra el DIEE está relacionado con el domicilio fiscal de las empresas, el cual no necesariamente corresponde al lugar en donde se ejerce las actividades productivas. </w:t>
      </w:r>
    </w:p>
    <w:p w14:paraId="0005FA59" w14:textId="77777777" w:rsidR="00176DC8" w:rsidRPr="00527E0F" w:rsidRDefault="00176DC8" w:rsidP="00CF0C1E">
      <w:pPr>
        <w:rPr>
          <w:rFonts w:ascii="Century Gothic" w:hAnsi="Century Gothic"/>
          <w:color w:val="595959" w:themeColor="text1" w:themeTint="A6"/>
        </w:rPr>
      </w:pPr>
    </w:p>
    <w:p w14:paraId="05B701EE" w14:textId="77777777" w:rsidR="00492810" w:rsidRPr="00176DC8" w:rsidRDefault="00492810" w:rsidP="00443329">
      <w:pPr>
        <w:pStyle w:val="SUBTITULOINEC"/>
        <w:numPr>
          <w:ilvl w:val="1"/>
          <w:numId w:val="33"/>
        </w:numPr>
        <w:jc w:val="left"/>
        <w:rPr>
          <w:sz w:val="32"/>
          <w:szCs w:val="32"/>
        </w:rPr>
      </w:pPr>
      <w:bookmarkStart w:id="159" w:name="_Toc412998120"/>
      <w:bookmarkStart w:id="160" w:name="_Toc53757429"/>
      <w:bookmarkEnd w:id="158"/>
      <w:r w:rsidRPr="00176DC8">
        <w:rPr>
          <w:sz w:val="32"/>
          <w:szCs w:val="32"/>
        </w:rPr>
        <w:t>Cronograma de ejecución de la operación estadística</w:t>
      </w:r>
      <w:bookmarkEnd w:id="159"/>
      <w:bookmarkEnd w:id="160"/>
    </w:p>
    <w:p w14:paraId="58D1C87F" w14:textId="70C1FB5C" w:rsidR="00492810"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El Directorio de Empresas y Establecimientos se encuentra alineado al Modelo de Producción Estadística, y cumple con las fases establecidas en este modelo, según se muestra en la siguiente tabla:</w:t>
      </w:r>
    </w:p>
    <w:p w14:paraId="699696EF" w14:textId="77777777" w:rsidR="00BF7001" w:rsidRDefault="00BF7001" w:rsidP="00492810">
      <w:pPr>
        <w:pStyle w:val="Descripcin"/>
        <w:spacing w:after="0" w:line="276" w:lineRule="auto"/>
        <w:jc w:val="left"/>
        <w:rPr>
          <w:rFonts w:ascii="Century Gothic" w:hAnsi="Century Gothic"/>
          <w:color w:val="595959" w:themeColor="text1" w:themeTint="A6"/>
          <w:sz w:val="24"/>
        </w:rPr>
      </w:pPr>
      <w:bookmarkStart w:id="161" w:name="_Toc515957045"/>
      <w:bookmarkStart w:id="162" w:name="_Toc117591181"/>
    </w:p>
    <w:p w14:paraId="0A5C6186" w14:textId="377A0C6C" w:rsidR="00492810" w:rsidRDefault="00492810" w:rsidP="00492810">
      <w:pPr>
        <w:pStyle w:val="Descripcin"/>
        <w:spacing w:after="0" w:line="276" w:lineRule="auto"/>
        <w:jc w:val="left"/>
        <w:rPr>
          <w:rFonts w:ascii="Century Gothic" w:hAnsi="Century Gothic"/>
          <w:b w:val="0"/>
          <w:color w:val="595959" w:themeColor="text1" w:themeTint="A6"/>
          <w:sz w:val="24"/>
        </w:rPr>
      </w:pPr>
      <w:r w:rsidRPr="00194146">
        <w:rPr>
          <w:rFonts w:ascii="Century Gothic" w:hAnsi="Century Gothic"/>
          <w:color w:val="595959" w:themeColor="text1" w:themeTint="A6"/>
          <w:sz w:val="24"/>
        </w:rPr>
        <w:t>Tabla</w:t>
      </w:r>
      <w:r w:rsidRPr="00443329">
        <w:rPr>
          <w:rFonts w:ascii="Century Gothic" w:hAnsi="Century Gothic"/>
          <w:color w:val="595959" w:themeColor="text1" w:themeTint="A6"/>
          <w:sz w:val="24"/>
        </w:rPr>
        <w:t xml:space="preserve"> </w:t>
      </w:r>
      <w:r w:rsidRPr="00443329">
        <w:rPr>
          <w:rFonts w:ascii="Century Gothic" w:hAnsi="Century Gothic"/>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sz w:val="24"/>
        </w:rPr>
        <w:fldChar w:fldCharType="separate"/>
      </w:r>
      <w:r w:rsidR="004E3F87">
        <w:rPr>
          <w:rFonts w:ascii="Century Gothic" w:hAnsi="Century Gothic"/>
          <w:noProof/>
          <w:color w:val="595959" w:themeColor="text1" w:themeTint="A6"/>
          <w:sz w:val="24"/>
        </w:rPr>
        <w:t>5</w:t>
      </w:r>
      <w:r w:rsidRPr="00443329">
        <w:rPr>
          <w:rFonts w:ascii="Century Gothic" w:hAnsi="Century Gothic"/>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Cronograma general de actividades del Directorio de Empresas 20</w:t>
      </w:r>
      <w:bookmarkEnd w:id="161"/>
      <w:r w:rsidR="00D8328C">
        <w:rPr>
          <w:rFonts w:ascii="Century Gothic" w:hAnsi="Century Gothic"/>
          <w:b w:val="0"/>
          <w:color w:val="595959" w:themeColor="text1" w:themeTint="A6"/>
          <w:sz w:val="24"/>
        </w:rPr>
        <w:t>2</w:t>
      </w:r>
      <w:r w:rsidR="00BB6BBD">
        <w:rPr>
          <w:rFonts w:ascii="Century Gothic" w:hAnsi="Century Gothic"/>
          <w:b w:val="0"/>
          <w:color w:val="595959" w:themeColor="text1" w:themeTint="A6"/>
          <w:sz w:val="24"/>
        </w:rPr>
        <w:t>1</w:t>
      </w:r>
      <w:bookmarkEnd w:id="162"/>
    </w:p>
    <w:tbl>
      <w:tblPr>
        <w:tblW w:w="5000" w:type="pct"/>
        <w:tblCellMar>
          <w:left w:w="70" w:type="dxa"/>
          <w:right w:w="70" w:type="dxa"/>
        </w:tblCellMar>
        <w:tblLook w:val="04A0" w:firstRow="1" w:lastRow="0" w:firstColumn="1" w:lastColumn="0" w:noHBand="0" w:noVBand="1"/>
      </w:tblPr>
      <w:tblGrid>
        <w:gridCol w:w="2019"/>
        <w:gridCol w:w="2465"/>
        <w:gridCol w:w="1997"/>
        <w:gridCol w:w="1997"/>
      </w:tblGrid>
      <w:tr w:rsidR="00194146" w:rsidRPr="00194146" w14:paraId="41451A01" w14:textId="77777777" w:rsidTr="00194146">
        <w:trPr>
          <w:trHeight w:val="20"/>
        </w:trPr>
        <w:tc>
          <w:tcPr>
            <w:tcW w:w="1190" w:type="pct"/>
            <w:vMerge w:val="restart"/>
            <w:tcBorders>
              <w:top w:val="single" w:sz="8" w:space="0" w:color="auto"/>
              <w:left w:val="single" w:sz="8" w:space="0" w:color="auto"/>
              <w:bottom w:val="single" w:sz="8" w:space="0" w:color="000000"/>
              <w:right w:val="single" w:sz="8" w:space="0" w:color="auto"/>
            </w:tcBorders>
            <w:shd w:val="clear" w:color="000000" w:fill="1F4E79"/>
            <w:vAlign w:val="center"/>
            <w:hideMark/>
          </w:tcPr>
          <w:p w14:paraId="63F992A8" w14:textId="77777777" w:rsidR="00194146" w:rsidRPr="00194146" w:rsidRDefault="00194146" w:rsidP="00194146">
            <w:pPr>
              <w:jc w:val="center"/>
              <w:rPr>
                <w:rFonts w:ascii="Century Gothic" w:eastAsia="Times New Roman" w:hAnsi="Century Gothic" w:cs="Calibri"/>
                <w:b/>
                <w:bCs/>
                <w:color w:val="FFFFFF"/>
                <w:lang w:eastAsia="es-EC"/>
              </w:rPr>
            </w:pPr>
            <w:r w:rsidRPr="00194146">
              <w:rPr>
                <w:rFonts w:ascii="Century Gothic" w:eastAsia="Times New Roman" w:hAnsi="Century Gothic" w:cs="Calibri"/>
                <w:b/>
                <w:bCs/>
                <w:color w:val="FFFFFF"/>
                <w:lang w:eastAsia="es-EC"/>
              </w:rPr>
              <w:t>Fase</w:t>
            </w:r>
          </w:p>
        </w:tc>
        <w:tc>
          <w:tcPr>
            <w:tcW w:w="1454" w:type="pct"/>
            <w:vMerge w:val="restart"/>
            <w:tcBorders>
              <w:top w:val="single" w:sz="8" w:space="0" w:color="auto"/>
              <w:left w:val="single" w:sz="8" w:space="0" w:color="auto"/>
              <w:bottom w:val="single" w:sz="8" w:space="0" w:color="000000"/>
              <w:right w:val="single" w:sz="8" w:space="0" w:color="auto"/>
            </w:tcBorders>
            <w:shd w:val="clear" w:color="000000" w:fill="1F4E79"/>
            <w:vAlign w:val="center"/>
            <w:hideMark/>
          </w:tcPr>
          <w:p w14:paraId="787C2B9E" w14:textId="77777777" w:rsidR="00194146" w:rsidRPr="00194146" w:rsidRDefault="00194146" w:rsidP="00194146">
            <w:pPr>
              <w:jc w:val="center"/>
              <w:rPr>
                <w:rFonts w:ascii="Century Gothic" w:eastAsia="Times New Roman" w:hAnsi="Century Gothic" w:cs="Calibri"/>
                <w:b/>
                <w:bCs/>
                <w:color w:val="FFFFFF"/>
                <w:lang w:eastAsia="es-EC"/>
              </w:rPr>
            </w:pPr>
            <w:r w:rsidRPr="00194146">
              <w:rPr>
                <w:rFonts w:ascii="Century Gothic" w:eastAsia="Times New Roman" w:hAnsi="Century Gothic" w:cs="Calibri"/>
                <w:b/>
                <w:bCs/>
                <w:color w:val="FFFFFF"/>
                <w:lang w:eastAsia="es-EC"/>
              </w:rPr>
              <w:t xml:space="preserve">Tiempo estimado de duración (días) </w:t>
            </w:r>
          </w:p>
        </w:tc>
        <w:tc>
          <w:tcPr>
            <w:tcW w:w="2356" w:type="pct"/>
            <w:gridSpan w:val="2"/>
            <w:tcBorders>
              <w:top w:val="single" w:sz="8" w:space="0" w:color="auto"/>
              <w:left w:val="nil"/>
              <w:bottom w:val="single" w:sz="8" w:space="0" w:color="auto"/>
              <w:right w:val="single" w:sz="8" w:space="0" w:color="000000"/>
            </w:tcBorders>
            <w:shd w:val="clear" w:color="000000" w:fill="1F4E79"/>
            <w:vAlign w:val="center"/>
            <w:hideMark/>
          </w:tcPr>
          <w:p w14:paraId="4EA23E83" w14:textId="77777777" w:rsidR="00194146" w:rsidRPr="00194146" w:rsidRDefault="00194146" w:rsidP="00194146">
            <w:pPr>
              <w:jc w:val="center"/>
              <w:rPr>
                <w:rFonts w:ascii="Century Gothic" w:eastAsia="Times New Roman" w:hAnsi="Century Gothic" w:cs="Calibri"/>
                <w:b/>
                <w:bCs/>
                <w:color w:val="FFFFFF"/>
                <w:lang w:eastAsia="es-EC"/>
              </w:rPr>
            </w:pPr>
            <w:r w:rsidRPr="00194146">
              <w:rPr>
                <w:rFonts w:ascii="Century Gothic" w:eastAsia="Times New Roman" w:hAnsi="Century Gothic" w:cs="Calibri"/>
                <w:b/>
                <w:bCs/>
                <w:color w:val="FFFFFF"/>
                <w:lang w:eastAsia="es-EC"/>
              </w:rPr>
              <w:t>Período de duración</w:t>
            </w:r>
          </w:p>
        </w:tc>
      </w:tr>
      <w:tr w:rsidR="00194146" w:rsidRPr="00194146" w14:paraId="2114C928" w14:textId="77777777" w:rsidTr="00194146">
        <w:trPr>
          <w:trHeight w:val="20"/>
        </w:trPr>
        <w:tc>
          <w:tcPr>
            <w:tcW w:w="1190" w:type="pct"/>
            <w:vMerge/>
            <w:tcBorders>
              <w:top w:val="single" w:sz="8" w:space="0" w:color="auto"/>
              <w:left w:val="single" w:sz="8" w:space="0" w:color="auto"/>
              <w:bottom w:val="single" w:sz="8" w:space="0" w:color="000000"/>
              <w:right w:val="single" w:sz="8" w:space="0" w:color="auto"/>
            </w:tcBorders>
            <w:vAlign w:val="center"/>
            <w:hideMark/>
          </w:tcPr>
          <w:p w14:paraId="13038038" w14:textId="77777777" w:rsidR="00194146" w:rsidRPr="00194146" w:rsidRDefault="00194146" w:rsidP="00194146">
            <w:pPr>
              <w:rPr>
                <w:rFonts w:ascii="Century Gothic" w:eastAsia="Times New Roman" w:hAnsi="Century Gothic" w:cs="Calibri"/>
                <w:b/>
                <w:bCs/>
                <w:color w:val="FFFFFF"/>
                <w:lang w:eastAsia="es-EC"/>
              </w:rPr>
            </w:pPr>
          </w:p>
        </w:tc>
        <w:tc>
          <w:tcPr>
            <w:tcW w:w="1454" w:type="pct"/>
            <w:vMerge/>
            <w:tcBorders>
              <w:top w:val="single" w:sz="8" w:space="0" w:color="auto"/>
              <w:left w:val="single" w:sz="8" w:space="0" w:color="auto"/>
              <w:bottom w:val="single" w:sz="8" w:space="0" w:color="000000"/>
              <w:right w:val="single" w:sz="8" w:space="0" w:color="auto"/>
            </w:tcBorders>
            <w:vAlign w:val="center"/>
            <w:hideMark/>
          </w:tcPr>
          <w:p w14:paraId="085A8E62" w14:textId="77777777" w:rsidR="00194146" w:rsidRPr="00194146" w:rsidRDefault="00194146" w:rsidP="00194146">
            <w:pPr>
              <w:rPr>
                <w:rFonts w:ascii="Century Gothic" w:eastAsia="Times New Roman" w:hAnsi="Century Gothic" w:cs="Calibri"/>
                <w:b/>
                <w:bCs/>
                <w:color w:val="FFFFFF"/>
                <w:lang w:eastAsia="es-EC"/>
              </w:rPr>
            </w:pPr>
          </w:p>
        </w:tc>
        <w:tc>
          <w:tcPr>
            <w:tcW w:w="1178" w:type="pct"/>
            <w:tcBorders>
              <w:top w:val="nil"/>
              <w:left w:val="nil"/>
              <w:bottom w:val="single" w:sz="8" w:space="0" w:color="auto"/>
              <w:right w:val="single" w:sz="8" w:space="0" w:color="auto"/>
            </w:tcBorders>
            <w:shd w:val="clear" w:color="000000" w:fill="1F4E79"/>
            <w:vAlign w:val="center"/>
            <w:hideMark/>
          </w:tcPr>
          <w:p w14:paraId="1514F542" w14:textId="77777777" w:rsidR="00194146" w:rsidRPr="00194146" w:rsidRDefault="00194146" w:rsidP="00194146">
            <w:pPr>
              <w:jc w:val="center"/>
              <w:rPr>
                <w:rFonts w:ascii="Century Gothic" w:eastAsia="Times New Roman" w:hAnsi="Century Gothic" w:cs="Calibri"/>
                <w:b/>
                <w:bCs/>
                <w:color w:val="FFFFFF"/>
                <w:lang w:eastAsia="es-EC"/>
              </w:rPr>
            </w:pPr>
            <w:r w:rsidRPr="00194146">
              <w:rPr>
                <w:rFonts w:ascii="Century Gothic" w:eastAsia="Times New Roman" w:hAnsi="Century Gothic" w:cs="Calibri"/>
                <w:b/>
                <w:bCs/>
                <w:color w:val="FFFFFF"/>
                <w:lang w:eastAsia="es-EC"/>
              </w:rPr>
              <w:t>Fecha inicio</w:t>
            </w:r>
          </w:p>
        </w:tc>
        <w:tc>
          <w:tcPr>
            <w:tcW w:w="1178" w:type="pct"/>
            <w:tcBorders>
              <w:top w:val="nil"/>
              <w:left w:val="nil"/>
              <w:bottom w:val="single" w:sz="8" w:space="0" w:color="auto"/>
              <w:right w:val="single" w:sz="8" w:space="0" w:color="auto"/>
            </w:tcBorders>
            <w:shd w:val="clear" w:color="000000" w:fill="1F4E79"/>
            <w:vAlign w:val="center"/>
            <w:hideMark/>
          </w:tcPr>
          <w:p w14:paraId="6011AC88" w14:textId="77777777" w:rsidR="00194146" w:rsidRPr="00194146" w:rsidRDefault="00194146" w:rsidP="00194146">
            <w:pPr>
              <w:jc w:val="center"/>
              <w:rPr>
                <w:rFonts w:ascii="Century Gothic" w:eastAsia="Times New Roman" w:hAnsi="Century Gothic" w:cs="Calibri"/>
                <w:b/>
                <w:bCs/>
                <w:color w:val="FFFFFF"/>
                <w:lang w:eastAsia="es-EC"/>
              </w:rPr>
            </w:pPr>
            <w:r w:rsidRPr="00194146">
              <w:rPr>
                <w:rFonts w:ascii="Century Gothic" w:eastAsia="Times New Roman" w:hAnsi="Century Gothic" w:cs="Calibri"/>
                <w:b/>
                <w:bCs/>
                <w:color w:val="FFFFFF"/>
                <w:lang w:eastAsia="es-EC"/>
              </w:rPr>
              <w:t>Fecha fin</w:t>
            </w:r>
          </w:p>
        </w:tc>
      </w:tr>
      <w:tr w:rsidR="00194146" w:rsidRPr="00194146" w14:paraId="5766606E"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3575BEA7"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Planificación</w:t>
            </w:r>
          </w:p>
        </w:tc>
        <w:tc>
          <w:tcPr>
            <w:tcW w:w="1454" w:type="pct"/>
            <w:tcBorders>
              <w:top w:val="nil"/>
              <w:left w:val="nil"/>
              <w:bottom w:val="single" w:sz="8" w:space="0" w:color="auto"/>
              <w:right w:val="single" w:sz="8" w:space="0" w:color="auto"/>
            </w:tcBorders>
            <w:shd w:val="clear" w:color="000000" w:fill="FFFFFF"/>
            <w:vAlign w:val="center"/>
            <w:hideMark/>
          </w:tcPr>
          <w:p w14:paraId="011FCC36"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21</w:t>
            </w:r>
          </w:p>
        </w:tc>
        <w:tc>
          <w:tcPr>
            <w:tcW w:w="1178" w:type="pct"/>
            <w:tcBorders>
              <w:top w:val="nil"/>
              <w:left w:val="nil"/>
              <w:bottom w:val="single" w:sz="8" w:space="0" w:color="auto"/>
              <w:right w:val="single" w:sz="8" w:space="0" w:color="auto"/>
            </w:tcBorders>
            <w:shd w:val="clear" w:color="000000" w:fill="FFFFFF"/>
            <w:noWrap/>
            <w:vAlign w:val="center"/>
            <w:hideMark/>
          </w:tcPr>
          <w:p w14:paraId="3BE9E84B" w14:textId="0BB73D42"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1/12/2021</w:t>
            </w:r>
          </w:p>
        </w:tc>
        <w:tc>
          <w:tcPr>
            <w:tcW w:w="1178" w:type="pct"/>
            <w:tcBorders>
              <w:top w:val="nil"/>
              <w:left w:val="nil"/>
              <w:bottom w:val="single" w:sz="8" w:space="0" w:color="auto"/>
              <w:right w:val="single" w:sz="8" w:space="0" w:color="auto"/>
            </w:tcBorders>
            <w:shd w:val="clear" w:color="000000" w:fill="FFFFFF"/>
            <w:vAlign w:val="center"/>
            <w:hideMark/>
          </w:tcPr>
          <w:p w14:paraId="17815353"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31/12/2021</w:t>
            </w:r>
          </w:p>
        </w:tc>
      </w:tr>
      <w:tr w:rsidR="00194146" w:rsidRPr="00194146" w14:paraId="4C8955D4"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0D8E4E88"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 xml:space="preserve">Diseño </w:t>
            </w:r>
          </w:p>
        </w:tc>
        <w:tc>
          <w:tcPr>
            <w:tcW w:w="1454" w:type="pct"/>
            <w:tcBorders>
              <w:top w:val="nil"/>
              <w:left w:val="nil"/>
              <w:bottom w:val="single" w:sz="8" w:space="0" w:color="auto"/>
              <w:right w:val="single" w:sz="8" w:space="0" w:color="auto"/>
            </w:tcBorders>
            <w:shd w:val="clear" w:color="000000" w:fill="FFFFFF"/>
            <w:vAlign w:val="center"/>
            <w:hideMark/>
          </w:tcPr>
          <w:p w14:paraId="27676078"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150</w:t>
            </w:r>
          </w:p>
        </w:tc>
        <w:tc>
          <w:tcPr>
            <w:tcW w:w="1178" w:type="pct"/>
            <w:tcBorders>
              <w:top w:val="nil"/>
              <w:left w:val="nil"/>
              <w:bottom w:val="single" w:sz="8" w:space="0" w:color="auto"/>
              <w:right w:val="single" w:sz="8" w:space="0" w:color="auto"/>
            </w:tcBorders>
            <w:shd w:val="clear" w:color="000000" w:fill="FFFFFF"/>
            <w:noWrap/>
            <w:vAlign w:val="center"/>
            <w:hideMark/>
          </w:tcPr>
          <w:p w14:paraId="43ECA3C0" w14:textId="4EBEE07F"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3/</w:t>
            </w: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1/2022</w:t>
            </w:r>
          </w:p>
        </w:tc>
        <w:tc>
          <w:tcPr>
            <w:tcW w:w="1178" w:type="pct"/>
            <w:tcBorders>
              <w:top w:val="nil"/>
              <w:left w:val="nil"/>
              <w:bottom w:val="single" w:sz="8" w:space="0" w:color="auto"/>
              <w:right w:val="single" w:sz="8" w:space="0" w:color="auto"/>
            </w:tcBorders>
            <w:shd w:val="clear" w:color="000000" w:fill="FFFFFF"/>
            <w:vAlign w:val="center"/>
            <w:hideMark/>
          </w:tcPr>
          <w:p w14:paraId="6852D384" w14:textId="114A0F6E"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8/</w:t>
            </w: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8/2022</w:t>
            </w:r>
          </w:p>
        </w:tc>
      </w:tr>
      <w:tr w:rsidR="00194146" w:rsidRPr="00194146" w14:paraId="4464FDA9"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4BAE8EEA"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Construcción</w:t>
            </w:r>
          </w:p>
        </w:tc>
        <w:tc>
          <w:tcPr>
            <w:tcW w:w="1454" w:type="pct"/>
            <w:tcBorders>
              <w:top w:val="nil"/>
              <w:left w:val="nil"/>
              <w:bottom w:val="single" w:sz="8" w:space="0" w:color="auto"/>
              <w:right w:val="single" w:sz="8" w:space="0" w:color="auto"/>
            </w:tcBorders>
            <w:shd w:val="clear" w:color="000000" w:fill="FFFFFF"/>
            <w:vAlign w:val="center"/>
            <w:hideMark/>
          </w:tcPr>
          <w:p w14:paraId="02AD8C3D"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190</w:t>
            </w:r>
          </w:p>
        </w:tc>
        <w:tc>
          <w:tcPr>
            <w:tcW w:w="1178" w:type="pct"/>
            <w:tcBorders>
              <w:top w:val="nil"/>
              <w:left w:val="nil"/>
              <w:bottom w:val="single" w:sz="8" w:space="0" w:color="auto"/>
              <w:right w:val="single" w:sz="8" w:space="0" w:color="auto"/>
            </w:tcBorders>
            <w:shd w:val="clear" w:color="000000" w:fill="FFFFFF"/>
            <w:noWrap/>
            <w:vAlign w:val="center"/>
            <w:hideMark/>
          </w:tcPr>
          <w:p w14:paraId="56E9C2D8" w14:textId="4C9EDD0D"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7/</w:t>
            </w: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2/2022</w:t>
            </w:r>
          </w:p>
        </w:tc>
        <w:tc>
          <w:tcPr>
            <w:tcW w:w="1178" w:type="pct"/>
            <w:tcBorders>
              <w:top w:val="nil"/>
              <w:left w:val="nil"/>
              <w:bottom w:val="single" w:sz="8" w:space="0" w:color="auto"/>
              <w:right w:val="single" w:sz="8" w:space="0" w:color="auto"/>
            </w:tcBorders>
            <w:shd w:val="clear" w:color="000000" w:fill="FFFFFF"/>
            <w:vAlign w:val="center"/>
            <w:hideMark/>
          </w:tcPr>
          <w:p w14:paraId="60E4CBA2"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31/10/2022</w:t>
            </w:r>
          </w:p>
        </w:tc>
      </w:tr>
      <w:tr w:rsidR="00194146" w:rsidRPr="00194146" w14:paraId="4C61FC56"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7164273D"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Recolección</w:t>
            </w:r>
          </w:p>
        </w:tc>
        <w:tc>
          <w:tcPr>
            <w:tcW w:w="1454" w:type="pct"/>
            <w:tcBorders>
              <w:top w:val="nil"/>
              <w:left w:val="nil"/>
              <w:bottom w:val="single" w:sz="8" w:space="0" w:color="auto"/>
              <w:right w:val="single" w:sz="8" w:space="0" w:color="auto"/>
            </w:tcBorders>
            <w:shd w:val="clear" w:color="000000" w:fill="FFFFFF"/>
            <w:vAlign w:val="center"/>
            <w:hideMark/>
          </w:tcPr>
          <w:p w14:paraId="2A42501D"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135</w:t>
            </w:r>
          </w:p>
        </w:tc>
        <w:tc>
          <w:tcPr>
            <w:tcW w:w="1178" w:type="pct"/>
            <w:tcBorders>
              <w:top w:val="nil"/>
              <w:left w:val="nil"/>
              <w:bottom w:val="single" w:sz="8" w:space="0" w:color="auto"/>
              <w:right w:val="single" w:sz="8" w:space="0" w:color="auto"/>
            </w:tcBorders>
            <w:shd w:val="clear" w:color="000000" w:fill="FFFFFF"/>
            <w:noWrap/>
            <w:vAlign w:val="center"/>
            <w:hideMark/>
          </w:tcPr>
          <w:p w14:paraId="4D08333D" w14:textId="0FB5CDA5"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2/</w:t>
            </w: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2/2022</w:t>
            </w:r>
          </w:p>
        </w:tc>
        <w:tc>
          <w:tcPr>
            <w:tcW w:w="1178" w:type="pct"/>
            <w:tcBorders>
              <w:top w:val="nil"/>
              <w:left w:val="nil"/>
              <w:bottom w:val="single" w:sz="8" w:space="0" w:color="auto"/>
              <w:right w:val="single" w:sz="8" w:space="0" w:color="auto"/>
            </w:tcBorders>
            <w:shd w:val="clear" w:color="000000" w:fill="FFFFFF"/>
            <w:vAlign w:val="center"/>
            <w:hideMark/>
          </w:tcPr>
          <w:p w14:paraId="4EA288AC" w14:textId="613EB9D0"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12/</w:t>
            </w:r>
            <w:r w:rsidR="00BF7001">
              <w:rPr>
                <w:rFonts w:ascii="Century Gothic" w:eastAsia="Times New Roman" w:hAnsi="Century Gothic" w:cs="Calibri"/>
                <w:color w:val="595959"/>
                <w:lang w:eastAsia="es-EC"/>
              </w:rPr>
              <w:t>0</w:t>
            </w:r>
            <w:r w:rsidRPr="00194146">
              <w:rPr>
                <w:rFonts w:ascii="Century Gothic" w:eastAsia="Times New Roman" w:hAnsi="Century Gothic" w:cs="Calibri"/>
                <w:color w:val="595959"/>
                <w:lang w:eastAsia="es-EC"/>
              </w:rPr>
              <w:t>8/2022</w:t>
            </w:r>
          </w:p>
        </w:tc>
      </w:tr>
      <w:tr w:rsidR="00194146" w:rsidRPr="00194146" w14:paraId="0DBACCD1"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661A3E84"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Procesamiento</w:t>
            </w:r>
          </w:p>
        </w:tc>
        <w:tc>
          <w:tcPr>
            <w:tcW w:w="1454" w:type="pct"/>
            <w:tcBorders>
              <w:top w:val="nil"/>
              <w:left w:val="nil"/>
              <w:bottom w:val="single" w:sz="8" w:space="0" w:color="auto"/>
              <w:right w:val="single" w:sz="8" w:space="0" w:color="auto"/>
            </w:tcBorders>
            <w:shd w:val="clear" w:color="000000" w:fill="FFFFFF"/>
            <w:vAlign w:val="center"/>
            <w:hideMark/>
          </w:tcPr>
          <w:p w14:paraId="17DD2E8A"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92</w:t>
            </w:r>
          </w:p>
        </w:tc>
        <w:tc>
          <w:tcPr>
            <w:tcW w:w="1178" w:type="pct"/>
            <w:tcBorders>
              <w:top w:val="nil"/>
              <w:left w:val="nil"/>
              <w:bottom w:val="single" w:sz="8" w:space="0" w:color="auto"/>
              <w:right w:val="single" w:sz="8" w:space="0" w:color="auto"/>
            </w:tcBorders>
            <w:shd w:val="clear" w:color="000000" w:fill="FFFFFF"/>
            <w:noWrap/>
            <w:vAlign w:val="center"/>
            <w:hideMark/>
          </w:tcPr>
          <w:p w14:paraId="1B4F1CC8" w14:textId="059318B6"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16/</w:t>
            </w:r>
            <w:r w:rsidR="00BF7001">
              <w:rPr>
                <w:rFonts w:ascii="Century Gothic" w:eastAsia="Times New Roman" w:hAnsi="Century Gothic" w:cs="Calibri"/>
                <w:color w:val="595959"/>
                <w:lang w:eastAsia="es-EC"/>
              </w:rPr>
              <w:t>0</w:t>
            </w:r>
            <w:r w:rsidRPr="00194146">
              <w:rPr>
                <w:rFonts w:ascii="Century Gothic" w:eastAsia="Times New Roman" w:hAnsi="Century Gothic" w:cs="Calibri"/>
                <w:color w:val="595959"/>
                <w:lang w:eastAsia="es-EC"/>
              </w:rPr>
              <w:t>5/2022</w:t>
            </w:r>
          </w:p>
        </w:tc>
        <w:tc>
          <w:tcPr>
            <w:tcW w:w="1178" w:type="pct"/>
            <w:tcBorders>
              <w:top w:val="nil"/>
              <w:left w:val="nil"/>
              <w:bottom w:val="single" w:sz="8" w:space="0" w:color="auto"/>
              <w:right w:val="single" w:sz="8" w:space="0" w:color="auto"/>
            </w:tcBorders>
            <w:shd w:val="clear" w:color="000000" w:fill="FFFFFF"/>
            <w:vAlign w:val="center"/>
            <w:hideMark/>
          </w:tcPr>
          <w:p w14:paraId="450FE46C" w14:textId="3E6B4C03"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21/</w:t>
            </w:r>
            <w:r w:rsidR="00BF7001">
              <w:rPr>
                <w:rFonts w:ascii="Century Gothic" w:eastAsia="Times New Roman" w:hAnsi="Century Gothic" w:cs="Calibri"/>
                <w:color w:val="595959"/>
                <w:lang w:eastAsia="es-EC"/>
              </w:rPr>
              <w:t>0</w:t>
            </w:r>
            <w:r w:rsidRPr="00194146">
              <w:rPr>
                <w:rFonts w:ascii="Century Gothic" w:eastAsia="Times New Roman" w:hAnsi="Century Gothic" w:cs="Calibri"/>
                <w:color w:val="595959"/>
                <w:lang w:eastAsia="es-EC"/>
              </w:rPr>
              <w:t>9/2022</w:t>
            </w:r>
          </w:p>
        </w:tc>
      </w:tr>
      <w:tr w:rsidR="00194146" w:rsidRPr="00194146" w14:paraId="04EFDCE7"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52502FA3"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 xml:space="preserve">Análisis </w:t>
            </w:r>
          </w:p>
        </w:tc>
        <w:tc>
          <w:tcPr>
            <w:tcW w:w="1454" w:type="pct"/>
            <w:tcBorders>
              <w:top w:val="nil"/>
              <w:left w:val="nil"/>
              <w:bottom w:val="single" w:sz="8" w:space="0" w:color="auto"/>
              <w:right w:val="single" w:sz="8" w:space="0" w:color="auto"/>
            </w:tcBorders>
            <w:shd w:val="clear" w:color="000000" w:fill="FFFFFF"/>
            <w:vAlign w:val="center"/>
            <w:hideMark/>
          </w:tcPr>
          <w:p w14:paraId="69406584"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76</w:t>
            </w:r>
          </w:p>
        </w:tc>
        <w:tc>
          <w:tcPr>
            <w:tcW w:w="1178" w:type="pct"/>
            <w:tcBorders>
              <w:top w:val="nil"/>
              <w:left w:val="nil"/>
              <w:bottom w:val="single" w:sz="8" w:space="0" w:color="auto"/>
              <w:right w:val="single" w:sz="8" w:space="0" w:color="auto"/>
            </w:tcBorders>
            <w:shd w:val="clear" w:color="000000" w:fill="FFFFFF"/>
            <w:noWrap/>
            <w:vAlign w:val="center"/>
            <w:hideMark/>
          </w:tcPr>
          <w:p w14:paraId="668368F8" w14:textId="7727C18D"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12/</w:t>
            </w:r>
            <w:r w:rsidR="00BF7001">
              <w:rPr>
                <w:rFonts w:ascii="Century Gothic" w:eastAsia="Times New Roman" w:hAnsi="Century Gothic" w:cs="Calibri"/>
                <w:color w:val="595959"/>
                <w:lang w:eastAsia="es-EC"/>
              </w:rPr>
              <w:t>0</w:t>
            </w:r>
            <w:r w:rsidRPr="00194146">
              <w:rPr>
                <w:rFonts w:ascii="Century Gothic" w:eastAsia="Times New Roman" w:hAnsi="Century Gothic" w:cs="Calibri"/>
                <w:color w:val="595959"/>
                <w:lang w:eastAsia="es-EC"/>
              </w:rPr>
              <w:t>7/2022</w:t>
            </w:r>
          </w:p>
        </w:tc>
        <w:tc>
          <w:tcPr>
            <w:tcW w:w="1178" w:type="pct"/>
            <w:tcBorders>
              <w:top w:val="nil"/>
              <w:left w:val="nil"/>
              <w:bottom w:val="single" w:sz="8" w:space="0" w:color="auto"/>
              <w:right w:val="single" w:sz="8" w:space="0" w:color="auto"/>
            </w:tcBorders>
            <w:shd w:val="clear" w:color="000000" w:fill="FFFFFF"/>
            <w:vAlign w:val="center"/>
            <w:hideMark/>
          </w:tcPr>
          <w:p w14:paraId="5A5EE123"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28/10/2022</w:t>
            </w:r>
          </w:p>
        </w:tc>
      </w:tr>
      <w:tr w:rsidR="00194146" w:rsidRPr="00194146" w14:paraId="7D9BCA7B"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00FA2D97"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 xml:space="preserve">Difusión </w:t>
            </w:r>
          </w:p>
        </w:tc>
        <w:tc>
          <w:tcPr>
            <w:tcW w:w="1454" w:type="pct"/>
            <w:tcBorders>
              <w:top w:val="nil"/>
              <w:left w:val="nil"/>
              <w:bottom w:val="single" w:sz="8" w:space="0" w:color="auto"/>
              <w:right w:val="single" w:sz="8" w:space="0" w:color="auto"/>
            </w:tcBorders>
            <w:shd w:val="clear" w:color="000000" w:fill="FFFFFF"/>
            <w:vAlign w:val="center"/>
            <w:hideMark/>
          </w:tcPr>
          <w:p w14:paraId="18B398A7"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249</w:t>
            </w:r>
          </w:p>
        </w:tc>
        <w:tc>
          <w:tcPr>
            <w:tcW w:w="1178" w:type="pct"/>
            <w:tcBorders>
              <w:top w:val="nil"/>
              <w:left w:val="nil"/>
              <w:bottom w:val="single" w:sz="8" w:space="0" w:color="auto"/>
              <w:right w:val="single" w:sz="8" w:space="0" w:color="auto"/>
            </w:tcBorders>
            <w:shd w:val="clear" w:color="000000" w:fill="FFFFFF"/>
            <w:noWrap/>
            <w:vAlign w:val="center"/>
            <w:hideMark/>
          </w:tcPr>
          <w:p w14:paraId="3CF40B3F" w14:textId="4B392A58" w:rsidR="00194146" w:rsidRPr="00194146" w:rsidRDefault="00BF7001" w:rsidP="00194146">
            <w:pPr>
              <w:jc w:val="center"/>
              <w:rPr>
                <w:rFonts w:ascii="Century Gothic" w:eastAsia="Times New Roman" w:hAnsi="Century Gothic" w:cs="Calibri"/>
                <w:color w:val="595959"/>
                <w:lang w:eastAsia="es-EC"/>
              </w:rPr>
            </w:pP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3/</w:t>
            </w:r>
            <w:r>
              <w:rPr>
                <w:rFonts w:ascii="Century Gothic" w:eastAsia="Times New Roman" w:hAnsi="Century Gothic" w:cs="Calibri"/>
                <w:color w:val="595959"/>
                <w:lang w:eastAsia="es-EC"/>
              </w:rPr>
              <w:t>0</w:t>
            </w:r>
            <w:r w:rsidR="00194146" w:rsidRPr="00194146">
              <w:rPr>
                <w:rFonts w:ascii="Century Gothic" w:eastAsia="Times New Roman" w:hAnsi="Century Gothic" w:cs="Calibri"/>
                <w:color w:val="595959"/>
                <w:lang w:eastAsia="es-EC"/>
              </w:rPr>
              <w:t>1/2022</w:t>
            </w:r>
          </w:p>
        </w:tc>
        <w:tc>
          <w:tcPr>
            <w:tcW w:w="1178" w:type="pct"/>
            <w:tcBorders>
              <w:top w:val="nil"/>
              <w:left w:val="nil"/>
              <w:bottom w:val="single" w:sz="8" w:space="0" w:color="auto"/>
              <w:right w:val="single" w:sz="8" w:space="0" w:color="auto"/>
            </w:tcBorders>
            <w:shd w:val="clear" w:color="000000" w:fill="FFFFFF"/>
            <w:vAlign w:val="center"/>
            <w:hideMark/>
          </w:tcPr>
          <w:p w14:paraId="7960474A"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30/12/2022</w:t>
            </w:r>
          </w:p>
        </w:tc>
      </w:tr>
      <w:tr w:rsidR="00194146" w:rsidRPr="00194146" w14:paraId="4F2627C9" w14:textId="77777777" w:rsidTr="00194146">
        <w:trPr>
          <w:trHeight w:val="20"/>
        </w:trPr>
        <w:tc>
          <w:tcPr>
            <w:tcW w:w="1190" w:type="pct"/>
            <w:tcBorders>
              <w:top w:val="nil"/>
              <w:left w:val="single" w:sz="8" w:space="0" w:color="auto"/>
              <w:bottom w:val="single" w:sz="8" w:space="0" w:color="auto"/>
              <w:right w:val="single" w:sz="8" w:space="0" w:color="auto"/>
            </w:tcBorders>
            <w:shd w:val="clear" w:color="000000" w:fill="FFFFFF"/>
            <w:vAlign w:val="center"/>
            <w:hideMark/>
          </w:tcPr>
          <w:p w14:paraId="5CB3C066" w14:textId="77777777" w:rsidR="00194146" w:rsidRPr="00194146" w:rsidRDefault="00194146" w:rsidP="00194146">
            <w:pPr>
              <w:rPr>
                <w:rFonts w:ascii="Century Gothic" w:eastAsia="Times New Roman" w:hAnsi="Century Gothic" w:cs="Calibri"/>
                <w:color w:val="595959"/>
                <w:lang w:eastAsia="es-EC"/>
              </w:rPr>
            </w:pPr>
            <w:r w:rsidRPr="00194146">
              <w:rPr>
                <w:rFonts w:ascii="Century Gothic" w:eastAsia="Times New Roman" w:hAnsi="Century Gothic" w:cs="Calibri"/>
                <w:color w:val="595959"/>
                <w:lang w:val="es-ES" w:eastAsia="es-EC"/>
              </w:rPr>
              <w:t>Evaluación</w:t>
            </w:r>
          </w:p>
        </w:tc>
        <w:tc>
          <w:tcPr>
            <w:tcW w:w="1454" w:type="pct"/>
            <w:tcBorders>
              <w:top w:val="nil"/>
              <w:left w:val="nil"/>
              <w:bottom w:val="single" w:sz="8" w:space="0" w:color="auto"/>
              <w:right w:val="single" w:sz="8" w:space="0" w:color="auto"/>
            </w:tcBorders>
            <w:shd w:val="clear" w:color="000000" w:fill="FFFFFF"/>
            <w:vAlign w:val="center"/>
            <w:hideMark/>
          </w:tcPr>
          <w:p w14:paraId="76E902A9"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128</w:t>
            </w:r>
          </w:p>
        </w:tc>
        <w:tc>
          <w:tcPr>
            <w:tcW w:w="1178" w:type="pct"/>
            <w:tcBorders>
              <w:top w:val="nil"/>
              <w:left w:val="nil"/>
              <w:bottom w:val="single" w:sz="8" w:space="0" w:color="auto"/>
              <w:right w:val="single" w:sz="8" w:space="0" w:color="auto"/>
            </w:tcBorders>
            <w:shd w:val="clear" w:color="000000" w:fill="FFFFFF"/>
            <w:noWrap/>
            <w:vAlign w:val="center"/>
            <w:hideMark/>
          </w:tcPr>
          <w:p w14:paraId="64180607" w14:textId="6B1A5000"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15/</w:t>
            </w:r>
            <w:r w:rsidR="00BF7001">
              <w:rPr>
                <w:rFonts w:ascii="Century Gothic" w:eastAsia="Times New Roman" w:hAnsi="Century Gothic" w:cs="Calibri"/>
                <w:color w:val="595959"/>
                <w:lang w:eastAsia="es-EC"/>
              </w:rPr>
              <w:t>0</w:t>
            </w:r>
            <w:r w:rsidRPr="00194146">
              <w:rPr>
                <w:rFonts w:ascii="Century Gothic" w:eastAsia="Times New Roman" w:hAnsi="Century Gothic" w:cs="Calibri"/>
                <w:color w:val="595959"/>
                <w:lang w:eastAsia="es-EC"/>
              </w:rPr>
              <w:t>6/2022</w:t>
            </w:r>
          </w:p>
        </w:tc>
        <w:tc>
          <w:tcPr>
            <w:tcW w:w="1178" w:type="pct"/>
            <w:tcBorders>
              <w:top w:val="nil"/>
              <w:left w:val="nil"/>
              <w:bottom w:val="single" w:sz="8" w:space="0" w:color="auto"/>
              <w:right w:val="single" w:sz="8" w:space="0" w:color="auto"/>
            </w:tcBorders>
            <w:shd w:val="clear" w:color="000000" w:fill="FFFFFF"/>
            <w:vAlign w:val="center"/>
            <w:hideMark/>
          </w:tcPr>
          <w:p w14:paraId="08AC2578" w14:textId="77777777" w:rsidR="00194146" w:rsidRPr="00194146" w:rsidRDefault="00194146" w:rsidP="00194146">
            <w:pPr>
              <w:jc w:val="center"/>
              <w:rPr>
                <w:rFonts w:ascii="Century Gothic" w:eastAsia="Times New Roman" w:hAnsi="Century Gothic" w:cs="Calibri"/>
                <w:color w:val="595959"/>
                <w:lang w:eastAsia="es-EC"/>
              </w:rPr>
            </w:pPr>
            <w:r w:rsidRPr="00194146">
              <w:rPr>
                <w:rFonts w:ascii="Century Gothic" w:eastAsia="Times New Roman" w:hAnsi="Century Gothic" w:cs="Calibri"/>
                <w:color w:val="595959"/>
                <w:lang w:eastAsia="es-EC"/>
              </w:rPr>
              <w:t>15/12/2022</w:t>
            </w:r>
          </w:p>
        </w:tc>
      </w:tr>
    </w:tbl>
    <w:p w14:paraId="004056E0" w14:textId="603B5F61" w:rsidR="00492810" w:rsidRDefault="00492810" w:rsidP="00443329">
      <w:pPr>
        <w:ind w:left="60"/>
        <w:rPr>
          <w:rFonts w:ascii="Century Gothic" w:hAnsi="Century Gothic"/>
          <w:color w:val="595959" w:themeColor="text1" w:themeTint="A6"/>
          <w:sz w:val="16"/>
          <w:szCs w:val="16"/>
        </w:rPr>
      </w:pPr>
      <w:r w:rsidRPr="00443329">
        <w:rPr>
          <w:rFonts w:ascii="Century Gothic" w:hAnsi="Century Gothic"/>
          <w:b/>
          <w:color w:val="595959" w:themeColor="text1" w:themeTint="A6"/>
          <w:sz w:val="16"/>
          <w:szCs w:val="16"/>
        </w:rPr>
        <w:t>Fuente:</w:t>
      </w:r>
      <w:r w:rsidRPr="00443329">
        <w:rPr>
          <w:rFonts w:ascii="Century Gothic" w:hAnsi="Century Gothic"/>
          <w:color w:val="595959" w:themeColor="text1" w:themeTint="A6"/>
          <w:sz w:val="16"/>
          <w:szCs w:val="16"/>
        </w:rPr>
        <w:t xml:space="preserve"> INEC - Cronograma del Directorio de Empresas y </w:t>
      </w:r>
      <w:r w:rsidR="00F67524" w:rsidRPr="00C56AC7">
        <w:rPr>
          <w:rFonts w:ascii="Century Gothic" w:hAnsi="Century Gothic" w:cs="Arial"/>
          <w:color w:val="595959" w:themeColor="text1" w:themeTint="A6"/>
          <w:sz w:val="16"/>
          <w:szCs w:val="16"/>
        </w:rPr>
        <w:t xml:space="preserve">  </w:t>
      </w:r>
      <w:r w:rsidR="00451626">
        <w:rPr>
          <w:rFonts w:ascii="Century Gothic" w:hAnsi="Century Gothic"/>
          <w:color w:val="595959" w:themeColor="text1" w:themeTint="A6"/>
          <w:sz w:val="16"/>
          <w:szCs w:val="16"/>
        </w:rPr>
        <w:t>Establecimientos 202</w:t>
      </w:r>
      <w:r w:rsidR="00BB6BBD">
        <w:rPr>
          <w:rFonts w:ascii="Century Gothic" w:hAnsi="Century Gothic"/>
          <w:color w:val="595959" w:themeColor="text1" w:themeTint="A6"/>
          <w:sz w:val="16"/>
          <w:szCs w:val="16"/>
        </w:rPr>
        <w:t>1</w:t>
      </w:r>
      <w:r w:rsidRPr="00443329">
        <w:rPr>
          <w:rFonts w:ascii="Century Gothic" w:hAnsi="Century Gothic"/>
          <w:color w:val="595959" w:themeColor="text1" w:themeTint="A6"/>
          <w:sz w:val="16"/>
          <w:szCs w:val="16"/>
        </w:rPr>
        <w:t>.</w:t>
      </w:r>
    </w:p>
    <w:p w14:paraId="5535ACD1" w14:textId="77777777" w:rsidR="000D21DB" w:rsidRDefault="000D21DB" w:rsidP="00443329">
      <w:pPr>
        <w:ind w:left="60"/>
        <w:rPr>
          <w:rFonts w:ascii="Century Gothic" w:hAnsi="Century Gothic"/>
          <w:color w:val="595959" w:themeColor="text1" w:themeTint="A6"/>
          <w:sz w:val="16"/>
          <w:szCs w:val="16"/>
        </w:rPr>
      </w:pPr>
    </w:p>
    <w:p w14:paraId="0A38D4E3" w14:textId="541C8A12" w:rsidR="001056B6" w:rsidRDefault="001056B6" w:rsidP="00443329">
      <w:pPr>
        <w:ind w:left="60"/>
        <w:rPr>
          <w:rFonts w:ascii="Century Gothic" w:hAnsi="Century Gothic"/>
          <w:color w:val="595959" w:themeColor="text1" w:themeTint="A6"/>
          <w:sz w:val="16"/>
          <w:szCs w:val="16"/>
        </w:rPr>
      </w:pPr>
    </w:p>
    <w:p w14:paraId="35B3CFC2" w14:textId="2AB7E334" w:rsidR="00492810" w:rsidRPr="00443329" w:rsidRDefault="00492810" w:rsidP="00443329">
      <w:pPr>
        <w:pStyle w:val="TITULOINEC"/>
        <w:numPr>
          <w:ilvl w:val="0"/>
          <w:numId w:val="33"/>
        </w:numPr>
        <w:jc w:val="left"/>
      </w:pPr>
      <w:bookmarkStart w:id="163" w:name="_Toc53757430"/>
      <w:r w:rsidRPr="00443329">
        <w:t>DISEÑO Y CONSTRUCCIÓN</w:t>
      </w:r>
      <w:bookmarkEnd w:id="163"/>
      <w:r w:rsidRPr="00443329">
        <w:t xml:space="preserve"> </w:t>
      </w:r>
    </w:p>
    <w:p w14:paraId="4E360A69" w14:textId="77777777" w:rsidR="00492810" w:rsidRPr="00443329" w:rsidRDefault="00492810" w:rsidP="00492810">
      <w:pPr>
        <w:pStyle w:val="Sinespaciado"/>
        <w:rPr>
          <w:rFonts w:ascii="Century Gothic" w:hAnsi="Century Gothic"/>
          <w:sz w:val="24"/>
        </w:rPr>
      </w:pPr>
    </w:p>
    <w:p w14:paraId="0A3A3C2F" w14:textId="4F83400A" w:rsidR="00492810" w:rsidRPr="00595069" w:rsidRDefault="00492810" w:rsidP="00443329">
      <w:pPr>
        <w:jc w:val="both"/>
        <w:rPr>
          <w:rFonts w:ascii="Century Gothic" w:hAnsi="Century Gothic"/>
          <w:color w:val="595959" w:themeColor="text1" w:themeTint="A6"/>
        </w:rPr>
      </w:pPr>
      <w:r w:rsidRPr="00595069">
        <w:rPr>
          <w:rFonts w:ascii="Century Gothic" w:hAnsi="Century Gothic"/>
          <w:color w:val="595959" w:themeColor="text1" w:themeTint="A6"/>
        </w:rPr>
        <w:t>En este apartado se da a conocer los elementos que fueron diseñados y construidos, para la publicación Directorio de Empresas y Establecimientos. Se considera las variables que intervienen, los tabulados y los indicadores que se obtienen del mismo.</w:t>
      </w:r>
    </w:p>
    <w:p w14:paraId="793CAED3" w14:textId="77777777" w:rsidR="001056B6" w:rsidRDefault="001056B6" w:rsidP="00443329">
      <w:pPr>
        <w:jc w:val="both"/>
        <w:rPr>
          <w:rFonts w:ascii="Century Gothic" w:hAnsi="Century Gothic"/>
          <w:color w:val="3B3838" w:themeColor="background2" w:themeShade="40"/>
          <w:lang w:eastAsia="es-EC"/>
        </w:rPr>
      </w:pPr>
    </w:p>
    <w:p w14:paraId="294AB79D" w14:textId="77777777" w:rsidR="009B7728" w:rsidRPr="009B7728" w:rsidRDefault="009B7728" w:rsidP="003C20C6">
      <w:pPr>
        <w:pStyle w:val="Prrafodelista"/>
        <w:numPr>
          <w:ilvl w:val="0"/>
          <w:numId w:val="3"/>
        </w:numPr>
        <w:spacing w:after="0" w:line="240" w:lineRule="auto"/>
        <w:contextualSpacing w:val="0"/>
        <w:jc w:val="left"/>
        <w:rPr>
          <w:rFonts w:ascii="Century Gothic" w:hAnsi="Century Gothic"/>
          <w:b/>
          <w:bCs/>
          <w:vanish/>
          <w:color w:val="505685"/>
          <w:sz w:val="48"/>
          <w:szCs w:val="48"/>
          <w:lang w:eastAsia="es-EC"/>
          <w14:textFill>
            <w14:solidFill>
              <w14:srgbClr w14:val="505685">
                <w14:lumMod w14:val="65000"/>
                <w14:lumOff w14:val="35000"/>
              </w14:srgbClr>
            </w14:solidFill>
          </w14:textFill>
        </w:rPr>
      </w:pPr>
      <w:bookmarkStart w:id="164" w:name="_Toc412998122"/>
      <w:bookmarkStart w:id="165" w:name="_Toc53757431"/>
    </w:p>
    <w:p w14:paraId="3272BEF4" w14:textId="77777777" w:rsidR="00492810" w:rsidRPr="00176DC8" w:rsidRDefault="00492810" w:rsidP="003C20C6">
      <w:pPr>
        <w:pStyle w:val="SUBTITULOINEC"/>
        <w:numPr>
          <w:ilvl w:val="1"/>
          <w:numId w:val="3"/>
        </w:numPr>
        <w:jc w:val="left"/>
        <w:rPr>
          <w:sz w:val="32"/>
          <w:szCs w:val="32"/>
          <w:lang w:eastAsia="es-EC"/>
        </w:rPr>
      </w:pPr>
      <w:r w:rsidRPr="00176DC8">
        <w:rPr>
          <w:sz w:val="32"/>
          <w:szCs w:val="32"/>
        </w:rPr>
        <w:t>Productos estadísticos</w:t>
      </w:r>
      <w:bookmarkEnd w:id="164"/>
      <w:bookmarkEnd w:id="165"/>
      <w:r w:rsidRPr="00176DC8">
        <w:rPr>
          <w:sz w:val="32"/>
          <w:szCs w:val="32"/>
        </w:rPr>
        <w:t xml:space="preserve"> </w:t>
      </w:r>
    </w:p>
    <w:p w14:paraId="771463F7" w14:textId="77777777" w:rsidR="00492810" w:rsidRPr="00443329" w:rsidRDefault="00492810" w:rsidP="00443329">
      <w:pPr>
        <w:pStyle w:val="Prrafodelista"/>
        <w:keepNext/>
        <w:keepLines/>
        <w:numPr>
          <w:ilvl w:val="0"/>
          <w:numId w:val="3"/>
        </w:numPr>
        <w:spacing w:after="0" w:line="240" w:lineRule="auto"/>
        <w:contextualSpacing w:val="0"/>
        <w:outlineLvl w:val="1"/>
        <w:rPr>
          <w:rFonts w:ascii="Century Gothic" w:hAnsi="Century Gothic"/>
          <w:vanish/>
          <w:color w:val="595959" w:themeColor="text1" w:themeTint="A6"/>
          <w:sz w:val="24"/>
        </w:rPr>
      </w:pPr>
      <w:bookmarkStart w:id="166" w:name="_Toc527493528"/>
      <w:bookmarkStart w:id="167" w:name="_Toc527493599"/>
      <w:bookmarkStart w:id="168" w:name="_Toc527710063"/>
      <w:bookmarkStart w:id="169" w:name="_Toc527971973"/>
      <w:bookmarkStart w:id="170" w:name="_Toc527972032"/>
      <w:bookmarkStart w:id="171" w:name="_Toc527972869"/>
      <w:bookmarkStart w:id="172" w:name="_Toc527972935"/>
      <w:bookmarkStart w:id="173" w:name="_Toc527973859"/>
      <w:bookmarkStart w:id="174" w:name="_Toc21540823"/>
      <w:bookmarkStart w:id="175" w:name="_Toc21960920"/>
      <w:bookmarkStart w:id="176" w:name="_Toc25920722"/>
      <w:bookmarkStart w:id="177" w:name="_Toc53757432"/>
      <w:bookmarkStart w:id="178" w:name="_Toc412998123"/>
      <w:bookmarkEnd w:id="166"/>
      <w:bookmarkEnd w:id="167"/>
      <w:bookmarkEnd w:id="168"/>
      <w:bookmarkEnd w:id="169"/>
      <w:bookmarkEnd w:id="170"/>
      <w:bookmarkEnd w:id="171"/>
      <w:bookmarkEnd w:id="172"/>
      <w:bookmarkEnd w:id="173"/>
      <w:bookmarkEnd w:id="174"/>
      <w:bookmarkEnd w:id="175"/>
      <w:bookmarkEnd w:id="176"/>
      <w:bookmarkEnd w:id="177"/>
    </w:p>
    <w:p w14:paraId="644BE5F3" w14:textId="77777777" w:rsidR="00492810" w:rsidRPr="00443329" w:rsidRDefault="00492810" w:rsidP="00443329">
      <w:pPr>
        <w:pStyle w:val="Prrafodelista"/>
        <w:keepNext/>
        <w:keepLines/>
        <w:numPr>
          <w:ilvl w:val="0"/>
          <w:numId w:val="3"/>
        </w:numPr>
        <w:spacing w:after="0" w:line="240" w:lineRule="auto"/>
        <w:contextualSpacing w:val="0"/>
        <w:outlineLvl w:val="1"/>
        <w:rPr>
          <w:rFonts w:ascii="Century Gothic" w:hAnsi="Century Gothic"/>
          <w:b/>
          <w:vanish/>
          <w:color w:val="595959" w:themeColor="text1" w:themeTint="A6"/>
          <w:sz w:val="24"/>
        </w:rPr>
      </w:pPr>
      <w:bookmarkStart w:id="179" w:name="_Toc527493529"/>
      <w:bookmarkStart w:id="180" w:name="_Toc527493600"/>
      <w:bookmarkStart w:id="181" w:name="_Toc527710064"/>
      <w:bookmarkStart w:id="182" w:name="_Toc527971974"/>
      <w:bookmarkStart w:id="183" w:name="_Toc527972033"/>
      <w:bookmarkStart w:id="184" w:name="_Toc527972870"/>
      <w:bookmarkStart w:id="185" w:name="_Toc527972936"/>
      <w:bookmarkStart w:id="186" w:name="_Toc527973860"/>
      <w:bookmarkStart w:id="187" w:name="_Toc21540824"/>
      <w:bookmarkStart w:id="188" w:name="_Toc21960921"/>
      <w:bookmarkStart w:id="189" w:name="_Toc25920723"/>
      <w:bookmarkStart w:id="190" w:name="_Toc53757433"/>
      <w:bookmarkEnd w:id="179"/>
      <w:bookmarkEnd w:id="180"/>
      <w:bookmarkEnd w:id="181"/>
      <w:bookmarkEnd w:id="182"/>
      <w:bookmarkEnd w:id="183"/>
      <w:bookmarkEnd w:id="184"/>
      <w:bookmarkEnd w:id="185"/>
      <w:bookmarkEnd w:id="186"/>
      <w:bookmarkEnd w:id="187"/>
      <w:bookmarkEnd w:id="188"/>
      <w:bookmarkEnd w:id="189"/>
      <w:bookmarkEnd w:id="190"/>
    </w:p>
    <w:p w14:paraId="4EC198C8" w14:textId="77777777" w:rsidR="00492810" w:rsidRPr="00443329" w:rsidRDefault="00492810" w:rsidP="00443329">
      <w:pPr>
        <w:pStyle w:val="Prrafodelista"/>
        <w:keepNext/>
        <w:keepLines/>
        <w:numPr>
          <w:ilvl w:val="1"/>
          <w:numId w:val="3"/>
        </w:numPr>
        <w:spacing w:after="0" w:line="240" w:lineRule="auto"/>
        <w:contextualSpacing w:val="0"/>
        <w:outlineLvl w:val="1"/>
        <w:rPr>
          <w:rFonts w:ascii="Century Gothic" w:hAnsi="Century Gothic"/>
          <w:b/>
          <w:vanish/>
          <w:color w:val="595959" w:themeColor="text1" w:themeTint="A6"/>
          <w:sz w:val="24"/>
        </w:rPr>
      </w:pPr>
      <w:bookmarkStart w:id="191" w:name="_Toc527493530"/>
      <w:bookmarkStart w:id="192" w:name="_Toc527493601"/>
      <w:bookmarkStart w:id="193" w:name="_Toc527710065"/>
      <w:bookmarkStart w:id="194" w:name="_Toc527971975"/>
      <w:bookmarkStart w:id="195" w:name="_Toc527972034"/>
      <w:bookmarkStart w:id="196" w:name="_Toc527972871"/>
      <w:bookmarkStart w:id="197" w:name="_Toc527972937"/>
      <w:bookmarkStart w:id="198" w:name="_Toc527973861"/>
      <w:bookmarkStart w:id="199" w:name="_Toc21540825"/>
      <w:bookmarkStart w:id="200" w:name="_Toc21960922"/>
      <w:bookmarkStart w:id="201" w:name="_Toc25920724"/>
      <w:bookmarkStart w:id="202" w:name="_Toc53757434"/>
      <w:bookmarkEnd w:id="191"/>
      <w:bookmarkEnd w:id="192"/>
      <w:bookmarkEnd w:id="193"/>
      <w:bookmarkEnd w:id="194"/>
      <w:bookmarkEnd w:id="195"/>
      <w:bookmarkEnd w:id="196"/>
      <w:bookmarkEnd w:id="197"/>
      <w:bookmarkEnd w:id="198"/>
      <w:bookmarkEnd w:id="199"/>
      <w:bookmarkEnd w:id="200"/>
      <w:bookmarkEnd w:id="201"/>
      <w:bookmarkEnd w:id="202"/>
    </w:p>
    <w:p w14:paraId="740F1402" w14:textId="77777777" w:rsidR="00F67524" w:rsidRPr="00443329" w:rsidRDefault="00F67524" w:rsidP="00443329">
      <w:pPr>
        <w:pStyle w:val="SUBTITULOINEC"/>
        <w:ind w:left="708"/>
        <w:jc w:val="left"/>
        <w:rPr>
          <w:b w:val="0"/>
          <w:color w:val="000000" w:themeColor="text1"/>
          <w:sz w:val="24"/>
          <w14:textFill>
            <w14:solidFill>
              <w14:schemeClr w14:val="tx1">
                <w14:lumMod w14:val="65000"/>
                <w14:lumOff w14:val="35000"/>
                <w14:lumMod w14:val="65000"/>
                <w14:lumOff w14:val="35000"/>
              </w14:schemeClr>
            </w14:solidFill>
          </w14:textFill>
        </w:rPr>
      </w:pPr>
      <w:bookmarkStart w:id="203" w:name="_Toc53757435"/>
    </w:p>
    <w:p w14:paraId="017F8B63" w14:textId="77777777" w:rsidR="00492810" w:rsidRPr="00176DC8" w:rsidRDefault="00492810" w:rsidP="00443329">
      <w:pPr>
        <w:pStyle w:val="SUBTITULOINEC"/>
        <w:ind w:left="708"/>
        <w:jc w:val="left"/>
        <w:rPr>
          <w:sz w:val="32"/>
          <w:szCs w:val="32"/>
        </w:rPr>
      </w:pPr>
      <w:r w:rsidRPr="00176DC8">
        <w:rPr>
          <w:sz w:val="32"/>
          <w:szCs w:val="32"/>
        </w:rPr>
        <w:t>2.1.1 Variables</w:t>
      </w:r>
      <w:bookmarkEnd w:id="178"/>
      <w:bookmarkEnd w:id="203"/>
    </w:p>
    <w:p w14:paraId="151315C8" w14:textId="60C6E567" w:rsidR="00492810" w:rsidRDefault="00492810" w:rsidP="00443329">
      <w:pPr>
        <w:autoSpaceDE w:val="0"/>
        <w:autoSpaceDN w:val="0"/>
        <w:adjustRightInd w:val="0"/>
        <w:spacing w:before="240"/>
        <w:jc w:val="both"/>
        <w:rPr>
          <w:rFonts w:ascii="Century Gothic" w:hAnsi="Century Gothic"/>
          <w:color w:val="595959" w:themeColor="text1" w:themeTint="A6"/>
        </w:rPr>
      </w:pPr>
      <w:bookmarkStart w:id="204" w:name="_Toc412998124"/>
      <w:r w:rsidRPr="00527E0F">
        <w:rPr>
          <w:rFonts w:ascii="Century Gothic" w:hAnsi="Century Gothic"/>
          <w:color w:val="595959" w:themeColor="text1" w:themeTint="A6"/>
        </w:rPr>
        <w:t>Las variables que contiene la base de datos de empresas y establecimientos se enumeran en el Anexo</w:t>
      </w:r>
      <w:r w:rsidRPr="00527E0F" w:rsidDel="001B585D">
        <w:rPr>
          <w:rFonts w:ascii="Century Gothic" w:hAnsi="Century Gothic"/>
          <w:color w:val="595959" w:themeColor="text1" w:themeTint="A6"/>
        </w:rPr>
        <w:t xml:space="preserve"> </w:t>
      </w:r>
      <w:r w:rsidRPr="00527E0F">
        <w:rPr>
          <w:rFonts w:ascii="Century Gothic" w:hAnsi="Century Gothic"/>
          <w:color w:val="595959" w:themeColor="text1" w:themeTint="A6"/>
        </w:rPr>
        <w:t>2. La descripción detallada de la naturaleza y contenidos de cada variable se encuentra en el producto estadístico “Diccionario de variables DIEE 20</w:t>
      </w:r>
      <w:r w:rsidR="000E25E0">
        <w:rPr>
          <w:rFonts w:ascii="Century Gothic" w:hAnsi="Century Gothic"/>
          <w:color w:val="595959" w:themeColor="text1" w:themeTint="A6"/>
        </w:rPr>
        <w:t>2</w:t>
      </w:r>
      <w:r w:rsidR="00DC1BFC">
        <w:rPr>
          <w:rFonts w:ascii="Century Gothic" w:hAnsi="Century Gothic"/>
          <w:color w:val="595959" w:themeColor="text1" w:themeTint="A6"/>
        </w:rPr>
        <w:t>1</w:t>
      </w:r>
      <w:r w:rsidRPr="00527E0F">
        <w:rPr>
          <w:rFonts w:ascii="Century Gothic" w:hAnsi="Century Gothic"/>
          <w:color w:val="595959" w:themeColor="text1" w:themeTint="A6"/>
        </w:rPr>
        <w:t>” publicado en la web del INEC.</w:t>
      </w:r>
    </w:p>
    <w:p w14:paraId="183751B5" w14:textId="77777777" w:rsidR="00492810" w:rsidRPr="00527E0F" w:rsidRDefault="00492810" w:rsidP="00CF0C1E">
      <w:pPr>
        <w:autoSpaceDE w:val="0"/>
        <w:autoSpaceDN w:val="0"/>
        <w:adjustRightInd w:val="0"/>
        <w:rPr>
          <w:rFonts w:ascii="Century Gothic" w:hAnsi="Century Gothic"/>
          <w:color w:val="595959" w:themeColor="text1" w:themeTint="A6"/>
        </w:rPr>
      </w:pPr>
    </w:p>
    <w:p w14:paraId="314A4685" w14:textId="77777777" w:rsidR="00176DC8" w:rsidRDefault="00492810" w:rsidP="00176DC8">
      <w:pPr>
        <w:pStyle w:val="SUBTITULOINEC"/>
        <w:ind w:left="708"/>
        <w:jc w:val="both"/>
        <w:rPr>
          <w:sz w:val="32"/>
          <w:szCs w:val="32"/>
        </w:rPr>
      </w:pPr>
      <w:bookmarkStart w:id="205" w:name="_Toc53757436"/>
      <w:bookmarkStart w:id="206" w:name="_Toc412998126"/>
      <w:bookmarkEnd w:id="204"/>
      <w:r w:rsidRPr="00176DC8">
        <w:rPr>
          <w:sz w:val="32"/>
          <w:szCs w:val="32"/>
        </w:rPr>
        <w:t>2.1.2 Variables y unidades derivadas</w:t>
      </w:r>
      <w:bookmarkStart w:id="207" w:name="_Toc412998125"/>
      <w:bookmarkEnd w:id="205"/>
    </w:p>
    <w:p w14:paraId="16F1E7DA" w14:textId="09802E5E" w:rsidR="00492810" w:rsidRDefault="00492810" w:rsidP="00176DC8">
      <w:pPr>
        <w:autoSpaceDE w:val="0"/>
        <w:autoSpaceDN w:val="0"/>
        <w:adjustRightInd w:val="0"/>
        <w:spacing w:before="240"/>
        <w:jc w:val="both"/>
        <w:rPr>
          <w:rFonts w:ascii="Century Gothic" w:hAnsi="Century Gothic"/>
          <w:color w:val="595959" w:themeColor="text1" w:themeTint="A6"/>
        </w:rPr>
      </w:pPr>
      <w:r w:rsidRPr="00443329">
        <w:rPr>
          <w:rFonts w:ascii="Century Gothic" w:hAnsi="Century Gothic"/>
          <w:color w:val="595959" w:themeColor="text1" w:themeTint="A6"/>
        </w:rPr>
        <w:t>En el DIEE se construyen variables derivadas a partir de la información base proporcionada en los registros administrativos del SRI y el IESS. Estas derivaciones se realizan con la finalidad de dar respuesta a los objetivos del directorio, relacionados con la presentación de información económica de ventas y personal afiliado medido en plazas de empleo y empleo registrado en la seguridad social, así como por la necesidad de clasificar a las empresas según el tamaño y según la forma de la institución o empresa. No se derivan variables a nivel de establecimiento debido a que no se cuenta con información suficiente desde la fuente.</w:t>
      </w:r>
    </w:p>
    <w:p w14:paraId="2FCCB6B0" w14:textId="77777777" w:rsidR="00176DC8" w:rsidRDefault="00176DC8" w:rsidP="00492810">
      <w:pPr>
        <w:pStyle w:val="Sinespaciado"/>
        <w:spacing w:line="276" w:lineRule="auto"/>
        <w:jc w:val="both"/>
        <w:rPr>
          <w:rFonts w:ascii="Century Gothic" w:hAnsi="Century Gothic"/>
          <w:color w:val="595959" w:themeColor="text1" w:themeTint="A6"/>
          <w:sz w:val="24"/>
        </w:rPr>
      </w:pPr>
    </w:p>
    <w:p w14:paraId="59585E16"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Las variables que se derivan son las siguientes:</w:t>
      </w:r>
    </w:p>
    <w:p w14:paraId="2E1E69EB"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5FD2182A"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Forma institucional</w:t>
      </w:r>
    </w:p>
    <w:p w14:paraId="19F5DB27"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Tamaño de empresa</w:t>
      </w:r>
    </w:p>
    <w:p w14:paraId="07E51D1F"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Estrato de ventas</w:t>
      </w:r>
    </w:p>
    <w:p w14:paraId="7B9AD958"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Estrato de personal afiliado por plaza de empleo registrado</w:t>
      </w:r>
    </w:p>
    <w:p w14:paraId="7E90EFD0" w14:textId="77777777" w:rsidR="00492810"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Estrato de personal afiliado por empleo registrado</w:t>
      </w:r>
    </w:p>
    <w:p w14:paraId="26C9E296" w14:textId="615DCCD5" w:rsidR="00C214BA" w:rsidRPr="00C214BA" w:rsidRDefault="00C214BA" w:rsidP="00583347">
      <w:pPr>
        <w:pStyle w:val="Sinespaciado"/>
        <w:numPr>
          <w:ilvl w:val="0"/>
          <w:numId w:val="28"/>
        </w:numPr>
        <w:spacing w:line="276" w:lineRule="auto"/>
        <w:jc w:val="both"/>
        <w:rPr>
          <w:rFonts w:ascii="Century Gothic" w:hAnsi="Century Gothic"/>
          <w:color w:val="595959" w:themeColor="text1" w:themeTint="A6"/>
          <w:sz w:val="24"/>
        </w:rPr>
      </w:pPr>
      <w:r w:rsidRPr="00C214BA">
        <w:rPr>
          <w:rFonts w:ascii="Century Gothic" w:hAnsi="Century Gothic"/>
          <w:color w:val="595959" w:themeColor="text1" w:themeTint="A6"/>
          <w:sz w:val="24"/>
        </w:rPr>
        <w:t>Plaza de empleo registrado equivalente</w:t>
      </w:r>
    </w:p>
    <w:p w14:paraId="194CFFAB" w14:textId="769F5D2F"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Plaza de empleo registrado promedio anual</w:t>
      </w:r>
    </w:p>
    <w:p w14:paraId="299652B6" w14:textId="52A94136" w:rsidR="001C35A8"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Plaza de empleo registrado </w:t>
      </w:r>
      <w:r w:rsidR="00775C07">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trimestral</w:t>
      </w:r>
    </w:p>
    <w:p w14:paraId="3D1D81C1" w14:textId="6259C98F"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Plaza de empleo registrado última declarada</w:t>
      </w:r>
    </w:p>
    <w:p w14:paraId="30079158" w14:textId="0B9E924E"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Rangos de edad por plazas de empleo registrado </w:t>
      </w:r>
      <w:r w:rsidR="00775C07">
        <w:rPr>
          <w:rFonts w:ascii="Century Gothic" w:hAnsi="Century Gothic"/>
          <w:color w:val="595959" w:themeColor="text1" w:themeTint="A6"/>
          <w:sz w:val="24"/>
        </w:rPr>
        <w:t>equivalente</w:t>
      </w:r>
    </w:p>
    <w:p w14:paraId="2D5FBAB5" w14:textId="77777777" w:rsidR="00492810"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Rangos de edad por plazas de empleo registrado último</w:t>
      </w:r>
    </w:p>
    <w:p w14:paraId="223BB96B" w14:textId="77777777" w:rsidR="00775C07" w:rsidRPr="00443329" w:rsidRDefault="00775C07" w:rsidP="00775C07">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Empleo registrado equivalente</w:t>
      </w:r>
    </w:p>
    <w:p w14:paraId="4C8A6E25"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Empleo registrado promedio anual</w:t>
      </w:r>
    </w:p>
    <w:p w14:paraId="75B06AB6" w14:textId="3DFD9E0E"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Empleo registrado </w:t>
      </w:r>
      <w:r w:rsidR="00775C07">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trimestral</w:t>
      </w:r>
    </w:p>
    <w:p w14:paraId="301195E2"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Empleo registrado último declarado</w:t>
      </w:r>
    </w:p>
    <w:p w14:paraId="2DAFCDC7" w14:textId="0B2B364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Rangos de edad por empleo registrado </w:t>
      </w:r>
      <w:r w:rsidR="00775C07">
        <w:rPr>
          <w:rFonts w:ascii="Century Gothic" w:hAnsi="Century Gothic"/>
          <w:color w:val="595959" w:themeColor="text1" w:themeTint="A6"/>
          <w:sz w:val="24"/>
        </w:rPr>
        <w:t>equivalente</w:t>
      </w:r>
    </w:p>
    <w:p w14:paraId="4C761A7E"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Rangos de edad por empleo registrado último</w:t>
      </w:r>
    </w:p>
    <w:p w14:paraId="69E32D63"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Estructura para estratificación</w:t>
      </w:r>
    </w:p>
    <w:p w14:paraId="4B511218"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Remuneraciones</w:t>
      </w:r>
      <w:r w:rsidRPr="00443329">
        <w:rPr>
          <w:rStyle w:val="Refdenotaalpie"/>
          <w:rFonts w:ascii="Century Gothic" w:hAnsi="Century Gothic"/>
          <w:color w:val="595959" w:themeColor="text1" w:themeTint="A6"/>
          <w:sz w:val="24"/>
        </w:rPr>
        <w:footnoteReference w:id="14"/>
      </w:r>
    </w:p>
    <w:p w14:paraId="0030087A"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Remuneraciones hombres</w:t>
      </w:r>
    </w:p>
    <w:p w14:paraId="4DC1D70F" w14:textId="77777777" w:rsidR="00492810" w:rsidRPr="00443329" w:rsidRDefault="00492810" w:rsidP="003C20C6">
      <w:pPr>
        <w:pStyle w:val="Sinespaciado"/>
        <w:numPr>
          <w:ilvl w:val="0"/>
          <w:numId w:val="28"/>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Remuneraciones mujeres</w:t>
      </w:r>
    </w:p>
    <w:p w14:paraId="206430C5" w14:textId="77777777" w:rsidR="00492810" w:rsidRPr="00443329" w:rsidRDefault="00492810" w:rsidP="00492810">
      <w:pPr>
        <w:pStyle w:val="Sinespaciado"/>
        <w:spacing w:line="276" w:lineRule="auto"/>
        <w:rPr>
          <w:rFonts w:ascii="Century Gothic" w:hAnsi="Century Gothic"/>
          <w:sz w:val="24"/>
        </w:rPr>
      </w:pPr>
    </w:p>
    <w:p w14:paraId="3EAFC105" w14:textId="62F5EC9F" w:rsidR="00492810" w:rsidRDefault="00492810" w:rsidP="00492810">
      <w:pPr>
        <w:pStyle w:val="Sinespaciado"/>
        <w:spacing w:line="276" w:lineRule="auto"/>
        <w:rPr>
          <w:rFonts w:ascii="Century Gothic" w:hAnsi="Century Gothic"/>
          <w:color w:val="595959" w:themeColor="text1" w:themeTint="A6"/>
          <w:sz w:val="24"/>
        </w:rPr>
      </w:pPr>
      <w:r w:rsidRPr="00443329">
        <w:rPr>
          <w:rFonts w:ascii="Century Gothic" w:hAnsi="Century Gothic"/>
          <w:color w:val="595959" w:themeColor="text1" w:themeTint="A6"/>
          <w:sz w:val="24"/>
        </w:rPr>
        <w:t>Para mayor detalle acerca de la definición de cada una de estas variables ver el Glosario de Términos.</w:t>
      </w:r>
    </w:p>
    <w:p w14:paraId="4643FBDD" w14:textId="77777777" w:rsidR="00E21D4E" w:rsidRDefault="00E21D4E" w:rsidP="00492810">
      <w:pPr>
        <w:pStyle w:val="Sinespaciado"/>
        <w:spacing w:line="276" w:lineRule="auto"/>
        <w:rPr>
          <w:rFonts w:ascii="Century Gothic" w:hAnsi="Century Gothic"/>
          <w:color w:val="595959" w:themeColor="text1" w:themeTint="A6"/>
          <w:sz w:val="24"/>
        </w:rPr>
      </w:pPr>
    </w:p>
    <w:p w14:paraId="6BC6C285" w14:textId="77777777" w:rsidR="00492810" w:rsidRPr="00176DC8" w:rsidRDefault="00492810" w:rsidP="00443329">
      <w:pPr>
        <w:pStyle w:val="SUBTITULOINEC"/>
        <w:ind w:left="708"/>
        <w:jc w:val="left"/>
        <w:rPr>
          <w:sz w:val="32"/>
          <w:szCs w:val="32"/>
        </w:rPr>
      </w:pPr>
      <w:bookmarkStart w:id="208" w:name="_Toc53757437"/>
      <w:r w:rsidRPr="00176DC8">
        <w:rPr>
          <w:sz w:val="32"/>
          <w:szCs w:val="32"/>
        </w:rPr>
        <w:t>2.1.3 Indicadores</w:t>
      </w:r>
      <w:bookmarkEnd w:id="207"/>
      <w:r w:rsidRPr="00176DC8">
        <w:rPr>
          <w:sz w:val="32"/>
          <w:szCs w:val="32"/>
        </w:rPr>
        <w:t>.</w:t>
      </w:r>
      <w:bookmarkEnd w:id="208"/>
      <w:r w:rsidRPr="00176DC8">
        <w:rPr>
          <w:sz w:val="32"/>
          <w:szCs w:val="32"/>
        </w:rPr>
        <w:t xml:space="preserve"> </w:t>
      </w:r>
    </w:p>
    <w:p w14:paraId="76973E5A" w14:textId="77777777" w:rsidR="00494A92" w:rsidRDefault="00494A92" w:rsidP="000D21DB">
      <w:pPr>
        <w:jc w:val="both"/>
        <w:rPr>
          <w:rFonts w:ascii="Century Gothic" w:hAnsi="Century Gothic"/>
          <w:color w:val="595959" w:themeColor="text1" w:themeTint="A6"/>
        </w:rPr>
      </w:pPr>
    </w:p>
    <w:p w14:paraId="432161C6" w14:textId="1980A06D" w:rsidR="00492810" w:rsidRDefault="00492810" w:rsidP="000D21DB">
      <w:pPr>
        <w:jc w:val="both"/>
        <w:rPr>
          <w:rFonts w:ascii="Century Gothic" w:hAnsi="Century Gothic"/>
          <w:color w:val="595959" w:themeColor="text1" w:themeTint="A6"/>
        </w:rPr>
      </w:pPr>
      <w:r w:rsidRPr="00527E0F">
        <w:rPr>
          <w:rFonts w:ascii="Century Gothic" w:hAnsi="Century Gothic"/>
          <w:color w:val="595959" w:themeColor="text1" w:themeTint="A6"/>
        </w:rPr>
        <w:t xml:space="preserve">A </w:t>
      </w:r>
      <w:r w:rsidR="00C56AC7" w:rsidRPr="00527E0F">
        <w:rPr>
          <w:rFonts w:ascii="Century Gothic" w:hAnsi="Century Gothic"/>
          <w:color w:val="595959" w:themeColor="text1" w:themeTint="A6"/>
        </w:rPr>
        <w:t>continuación,</w:t>
      </w:r>
      <w:r w:rsidRPr="00527E0F">
        <w:rPr>
          <w:rFonts w:ascii="Century Gothic" w:hAnsi="Century Gothic"/>
          <w:color w:val="595959" w:themeColor="text1" w:themeTint="A6"/>
        </w:rPr>
        <w:t xml:space="preserve"> se presenta los principales indicadores derivados a partir de la información del Directorio de Empresas y Establecimientos.</w:t>
      </w:r>
    </w:p>
    <w:p w14:paraId="1F971045" w14:textId="77777777" w:rsidR="00494A92" w:rsidRPr="00494A92" w:rsidRDefault="00494A92" w:rsidP="00494A92"/>
    <w:p w14:paraId="04B67404" w14:textId="28190A92" w:rsidR="00492810" w:rsidRDefault="00492810" w:rsidP="000D21DB">
      <w:pPr>
        <w:pStyle w:val="Descripcin"/>
        <w:keepNext/>
        <w:spacing w:after="0"/>
        <w:rPr>
          <w:rFonts w:ascii="Century Gothic" w:hAnsi="Century Gothic"/>
          <w:b w:val="0"/>
          <w:color w:val="595959" w:themeColor="text1" w:themeTint="A6"/>
          <w:sz w:val="24"/>
        </w:rPr>
      </w:pPr>
      <w:bookmarkStart w:id="209" w:name="_Toc117591182"/>
      <w:r w:rsidRPr="00443329">
        <w:rPr>
          <w:rFonts w:ascii="Century Gothic" w:hAnsi="Century Gothic"/>
          <w:color w:val="595959" w:themeColor="text1" w:themeTint="A6"/>
          <w:sz w:val="24"/>
        </w:rPr>
        <w:t xml:space="preserve">Tabla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6</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w:t>
      </w:r>
      <w:r w:rsidRPr="00443329">
        <w:rPr>
          <w:rFonts w:ascii="Century Gothic" w:hAnsi="Century Gothic"/>
          <w:sz w:val="24"/>
        </w:rPr>
        <w:t xml:space="preserve"> </w:t>
      </w:r>
      <w:r w:rsidRPr="00443329">
        <w:rPr>
          <w:rFonts w:ascii="Century Gothic" w:hAnsi="Century Gothic"/>
          <w:b w:val="0"/>
          <w:color w:val="595959" w:themeColor="text1" w:themeTint="A6"/>
          <w:sz w:val="24"/>
        </w:rPr>
        <w:t>Indicadores del Directorio de Empresas y Establecimientos</w:t>
      </w:r>
      <w:bookmarkEnd w:id="209"/>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8"/>
        <w:gridCol w:w="2493"/>
        <w:gridCol w:w="2268"/>
        <w:gridCol w:w="2933"/>
      </w:tblGrid>
      <w:tr w:rsidR="001C1B91" w:rsidRPr="00337248" w14:paraId="3A5926BB" w14:textId="77777777" w:rsidTr="00595069">
        <w:trPr>
          <w:trHeight w:val="779"/>
          <w:tblHeader/>
          <w:jc w:val="center"/>
        </w:trPr>
        <w:tc>
          <w:tcPr>
            <w:tcW w:w="2168" w:type="dxa"/>
            <w:shd w:val="clear" w:color="auto" w:fill="1F3864" w:themeFill="accent1" w:themeFillShade="80"/>
            <w:vAlign w:val="center"/>
            <w:hideMark/>
          </w:tcPr>
          <w:p w14:paraId="5B19D907" w14:textId="5C20F6F1" w:rsidR="001C1B91" w:rsidRPr="001C1B91" w:rsidRDefault="00492810" w:rsidP="000D21DB">
            <w:pPr>
              <w:jc w:val="center"/>
              <w:rPr>
                <w:rFonts w:ascii="Century Gothic" w:eastAsia="Times New Roman" w:hAnsi="Century Gothic" w:cs="Times New Roman"/>
                <w:b/>
                <w:bCs/>
                <w:color w:val="FFFFFF" w:themeColor="background1"/>
                <w:szCs w:val="16"/>
                <w:lang w:eastAsia="es-EC"/>
              </w:rPr>
            </w:pPr>
            <w:r w:rsidRPr="00443329">
              <w:rPr>
                <w:rFonts w:ascii="Century Gothic" w:hAnsi="Century Gothic"/>
                <w:b/>
                <w:color w:val="595959" w:themeColor="text1" w:themeTint="A6"/>
              </w:rPr>
              <w:t xml:space="preserve"> </w:t>
            </w:r>
            <w:r w:rsidR="001C1B91" w:rsidRPr="001C1B91">
              <w:rPr>
                <w:rFonts w:ascii="Century Gothic" w:eastAsia="Times New Roman" w:hAnsi="Century Gothic" w:cs="Times New Roman"/>
                <w:b/>
                <w:bCs/>
                <w:color w:val="FFFFFF" w:themeColor="background1"/>
                <w:szCs w:val="16"/>
                <w:lang w:eastAsia="es-EC"/>
              </w:rPr>
              <w:t>Indicadores</w:t>
            </w:r>
          </w:p>
        </w:tc>
        <w:tc>
          <w:tcPr>
            <w:tcW w:w="2493" w:type="dxa"/>
            <w:shd w:val="clear" w:color="auto" w:fill="1F3864" w:themeFill="accent1" w:themeFillShade="80"/>
            <w:vAlign w:val="center"/>
            <w:hideMark/>
          </w:tcPr>
          <w:p w14:paraId="09A7B64A" w14:textId="77777777" w:rsidR="001C1B91" w:rsidRPr="001C1B91" w:rsidRDefault="001C1B91" w:rsidP="000D21DB">
            <w:pPr>
              <w:jc w:val="center"/>
              <w:rPr>
                <w:rFonts w:ascii="Century Gothic" w:eastAsia="Times New Roman" w:hAnsi="Century Gothic" w:cs="Times New Roman"/>
                <w:b/>
                <w:bCs/>
                <w:color w:val="FFFFFF" w:themeColor="background1"/>
                <w:szCs w:val="16"/>
                <w:lang w:eastAsia="es-EC"/>
              </w:rPr>
            </w:pPr>
            <w:r w:rsidRPr="001C1B91">
              <w:rPr>
                <w:rFonts w:ascii="Century Gothic" w:eastAsia="Times New Roman" w:hAnsi="Century Gothic" w:cs="Times New Roman"/>
                <w:b/>
                <w:bCs/>
                <w:color w:val="FFFFFF" w:themeColor="background1"/>
                <w:szCs w:val="16"/>
                <w:lang w:eastAsia="es-EC"/>
              </w:rPr>
              <w:t>Definición/objetivo del indicador</w:t>
            </w:r>
          </w:p>
        </w:tc>
        <w:tc>
          <w:tcPr>
            <w:tcW w:w="2268" w:type="dxa"/>
            <w:shd w:val="clear" w:color="auto" w:fill="1F3864" w:themeFill="accent1" w:themeFillShade="80"/>
            <w:vAlign w:val="center"/>
            <w:hideMark/>
          </w:tcPr>
          <w:p w14:paraId="0208F912" w14:textId="77777777" w:rsidR="001C1B91" w:rsidRPr="001C1B91" w:rsidRDefault="001C1B91" w:rsidP="000D21DB">
            <w:pPr>
              <w:jc w:val="center"/>
              <w:rPr>
                <w:rFonts w:ascii="Century Gothic" w:eastAsia="Times New Roman" w:hAnsi="Century Gothic" w:cs="Times New Roman"/>
                <w:b/>
                <w:bCs/>
                <w:color w:val="FFFFFF" w:themeColor="background1"/>
                <w:szCs w:val="16"/>
                <w:lang w:eastAsia="es-EC"/>
              </w:rPr>
            </w:pPr>
            <w:r w:rsidRPr="001C1B91">
              <w:rPr>
                <w:rFonts w:ascii="Century Gothic" w:eastAsia="Times New Roman" w:hAnsi="Century Gothic" w:cs="Times New Roman"/>
                <w:b/>
                <w:bCs/>
                <w:color w:val="FFFFFF" w:themeColor="background1"/>
                <w:szCs w:val="16"/>
                <w:lang w:eastAsia="es-EC"/>
              </w:rPr>
              <w:t>Variables que conforman el indicador</w:t>
            </w:r>
          </w:p>
        </w:tc>
        <w:tc>
          <w:tcPr>
            <w:tcW w:w="2933" w:type="dxa"/>
            <w:shd w:val="clear" w:color="auto" w:fill="1F3864" w:themeFill="accent1" w:themeFillShade="80"/>
            <w:vAlign w:val="center"/>
            <w:hideMark/>
          </w:tcPr>
          <w:p w14:paraId="2D47E641" w14:textId="77777777" w:rsidR="001C1B91" w:rsidRPr="001C1B91" w:rsidRDefault="001C1B91" w:rsidP="000D21DB">
            <w:pPr>
              <w:jc w:val="center"/>
              <w:rPr>
                <w:rFonts w:ascii="Century Gothic" w:eastAsia="Times New Roman" w:hAnsi="Century Gothic" w:cs="Times New Roman"/>
                <w:b/>
                <w:bCs/>
                <w:color w:val="FFFFFF" w:themeColor="background1"/>
                <w:szCs w:val="16"/>
                <w:lang w:eastAsia="es-EC"/>
              </w:rPr>
            </w:pPr>
            <w:r w:rsidRPr="001C1B91">
              <w:rPr>
                <w:rFonts w:ascii="Century Gothic" w:eastAsia="Times New Roman" w:hAnsi="Century Gothic" w:cs="Times New Roman"/>
                <w:b/>
                <w:bCs/>
                <w:color w:val="FFFFFF" w:themeColor="background1"/>
                <w:szCs w:val="16"/>
                <w:lang w:eastAsia="es-EC"/>
              </w:rPr>
              <w:t>Fórmula de cálculo</w:t>
            </w:r>
          </w:p>
        </w:tc>
      </w:tr>
      <w:tr w:rsidR="001C1B91" w:rsidRPr="00337248" w14:paraId="775559E8" w14:textId="77777777" w:rsidTr="001C1B91">
        <w:trPr>
          <w:trHeight w:val="3215"/>
          <w:jc w:val="center"/>
        </w:trPr>
        <w:tc>
          <w:tcPr>
            <w:tcW w:w="2168" w:type="dxa"/>
            <w:shd w:val="clear" w:color="000000" w:fill="FFFFFF"/>
            <w:vAlign w:val="center"/>
            <w:hideMark/>
          </w:tcPr>
          <w:p w14:paraId="092F999F"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Tasa de empresas por cada diez mil habitantes a nivel nacional o provincial.</w:t>
            </w:r>
          </w:p>
          <w:p w14:paraId="02251965" w14:textId="0F13A196" w:rsidR="001C1B91" w:rsidRPr="001C1B91" w:rsidRDefault="001C1B91" w:rsidP="00C455A9">
            <w:pPr>
              <w:jc w:val="center"/>
              <w:rPr>
                <w:rFonts w:ascii="Century Gothic" w:hAnsi="Century Gothic"/>
                <w:b/>
                <w:i/>
                <w:color w:val="595959" w:themeColor="text1" w:themeTint="A6"/>
                <w:sz w:val="20"/>
                <w:szCs w:val="20"/>
              </w:rPr>
            </w:pPr>
            <m:oMathPara>
              <m:oMath>
                <m:r>
                  <m:rPr>
                    <m:sty m:val="bi"/>
                  </m:rPr>
                  <w:rPr>
                    <w:rFonts w:ascii="Cambria Math" w:hAnsi="Cambria Math" w:cs="Arial"/>
                    <w:color w:val="595959" w:themeColor="text1" w:themeTint="A6"/>
                    <w:sz w:val="20"/>
                    <w:szCs w:val="20"/>
                  </w:rPr>
                  <m:t>TEMH</m:t>
                </m:r>
              </m:oMath>
            </m:oMathPara>
          </w:p>
        </w:tc>
        <w:tc>
          <w:tcPr>
            <w:tcW w:w="2493" w:type="dxa"/>
            <w:shd w:val="clear" w:color="000000" w:fill="FFFFFF"/>
            <w:noWrap/>
            <w:vAlign w:val="center"/>
            <w:hideMark/>
          </w:tcPr>
          <w:p w14:paraId="644BE6BF"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Mide la relación del número de empresas activas existentes en el país o una provincia con relación al total de habitantes de la misma en el año de referencia (t).</w:t>
            </w:r>
          </w:p>
        </w:tc>
        <w:tc>
          <w:tcPr>
            <w:tcW w:w="2268" w:type="dxa"/>
            <w:shd w:val="clear" w:color="000000" w:fill="FFFFFF"/>
            <w:vAlign w:val="center"/>
            <w:hideMark/>
          </w:tcPr>
          <w:p w14:paraId="4EE009ED" w14:textId="77777777" w:rsidR="001C1B91" w:rsidRPr="001C1B91" w:rsidRDefault="001C1B91" w:rsidP="001C1B91">
            <w:pPr>
              <w:pStyle w:val="Prrafodelista"/>
              <w:numPr>
                <w:ilvl w:val="0"/>
                <w:numId w:val="23"/>
              </w:numPr>
              <w:spacing w:line="360" w:lineRule="auto"/>
              <w:ind w:left="213" w:hanging="213"/>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03E9A018" w14:textId="77777777" w:rsidR="001C1B91" w:rsidRPr="001C1B91" w:rsidRDefault="001C1B91" w:rsidP="001C1B91">
            <w:pPr>
              <w:pStyle w:val="Prrafodelista"/>
              <w:numPr>
                <w:ilvl w:val="0"/>
                <w:numId w:val="23"/>
              </w:numPr>
              <w:spacing w:line="360" w:lineRule="auto"/>
              <w:ind w:left="213" w:hanging="213"/>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Población</w:t>
            </w:r>
          </w:p>
        </w:tc>
        <w:tc>
          <w:tcPr>
            <w:tcW w:w="2933" w:type="dxa"/>
            <w:shd w:val="clear" w:color="000000" w:fill="FFFFFF"/>
            <w:vAlign w:val="center"/>
            <w:hideMark/>
          </w:tcPr>
          <w:p w14:paraId="34AF67C6" w14:textId="77777777" w:rsidR="001C1B91" w:rsidRPr="001C1B91" w:rsidRDefault="001C1B91" w:rsidP="00C455A9">
            <w:pPr>
              <w:jc w:val="center"/>
              <w:rPr>
                <w:rFonts w:ascii="Century Gothic" w:eastAsiaTheme="minorEastAsia" w:hAnsi="Century Gothic"/>
                <w:sz w:val="20"/>
                <w:szCs w:val="20"/>
              </w:rPr>
            </w:pPr>
          </w:p>
          <w:p w14:paraId="482CF377" w14:textId="77777777" w:rsidR="001C1B91" w:rsidRPr="001C1B91" w:rsidRDefault="001C1B91" w:rsidP="00C455A9">
            <w:pPr>
              <w:jc w:val="center"/>
              <w:rPr>
                <w:rFonts w:ascii="Century Gothic" w:hAnsi="Century Gothic"/>
                <w:color w:val="595959" w:themeColor="text1" w:themeTint="A6"/>
                <w:sz w:val="20"/>
                <w:szCs w:val="20"/>
              </w:rPr>
            </w:pPr>
            <m:oMathPara>
              <m:oMath>
                <m:r>
                  <m:rPr>
                    <m:sty m:val="p"/>
                  </m:rPr>
                  <w:rPr>
                    <w:rFonts w:ascii="Cambria Math" w:hAnsi="Cambria Math" w:cs="Arial"/>
                    <w:sz w:val="20"/>
                    <w:szCs w:val="20"/>
                  </w:rPr>
                  <m:t>TEMH=</m:t>
                </m:r>
                <m:f>
                  <m:fPr>
                    <m:ctrlPr>
                      <w:rPr>
                        <w:rFonts w:ascii="Cambria Math" w:hAnsi="Cambria Math" w:cs="Arial"/>
                        <w:sz w:val="20"/>
                        <w:szCs w:val="20"/>
                      </w:rPr>
                    </m:ctrlPr>
                  </m:fPr>
                  <m:num>
                    <m:sSub>
                      <m:sSubPr>
                        <m:ctrlPr>
                          <w:rPr>
                            <w:rFonts w:ascii="Cambria Math" w:hAnsi="Cambria Math" w:cs="Arial"/>
                            <w:sz w:val="20"/>
                            <w:szCs w:val="20"/>
                          </w:rPr>
                        </m:ctrlPr>
                      </m:sSubPr>
                      <m:e>
                        <m:r>
                          <w:rPr>
                            <w:rFonts w:ascii="Cambria Math" w:hAnsi="Cambria Math" w:cs="Arial"/>
                            <w:sz w:val="20"/>
                            <w:szCs w:val="20"/>
                          </w:rPr>
                          <m:t>NEM</m:t>
                        </m:r>
                      </m:e>
                      <m:sub>
                        <m:r>
                          <w:rPr>
                            <w:rFonts w:ascii="Cambria Math" w:hAnsi="Cambria Math" w:cs="Arial"/>
                            <w:sz w:val="20"/>
                            <w:szCs w:val="20"/>
                          </w:rPr>
                          <m:t>t</m:t>
                        </m:r>
                      </m:sub>
                    </m:sSub>
                  </m:num>
                  <m:den>
                    <m:sSub>
                      <m:sSubPr>
                        <m:ctrlPr>
                          <w:rPr>
                            <w:rFonts w:ascii="Cambria Math" w:hAnsi="Cambria Math" w:cs="Arial"/>
                            <w:sz w:val="20"/>
                            <w:szCs w:val="20"/>
                          </w:rPr>
                        </m:ctrlPr>
                      </m:sSubPr>
                      <m:e>
                        <m:r>
                          <w:rPr>
                            <w:rFonts w:ascii="Cambria Math" w:hAnsi="Cambria Math" w:cs="Arial"/>
                            <w:sz w:val="20"/>
                            <w:szCs w:val="20"/>
                          </w:rPr>
                          <m:t>POB</m:t>
                        </m:r>
                      </m:e>
                      <m:sub>
                        <m:r>
                          <w:rPr>
                            <w:rFonts w:ascii="Cambria Math" w:hAnsi="Cambria Math" w:cs="Arial"/>
                            <w:sz w:val="20"/>
                            <w:szCs w:val="20"/>
                          </w:rPr>
                          <m:t>t</m:t>
                        </m:r>
                      </m:sub>
                    </m:sSub>
                  </m:den>
                </m:f>
                <m:r>
                  <m:rPr>
                    <m:sty m:val="p"/>
                  </m:rPr>
                  <w:rPr>
                    <w:rFonts w:ascii="Cambria Math" w:hAnsi="Cambria Math" w:cs="Arial"/>
                    <w:sz w:val="20"/>
                    <w:szCs w:val="20"/>
                  </w:rPr>
                  <m:t>*10000</m:t>
                </m:r>
              </m:oMath>
            </m:oMathPara>
          </w:p>
          <w:p w14:paraId="7F850294" w14:textId="77777777" w:rsid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En donde:</w:t>
            </w:r>
          </w:p>
          <w:p w14:paraId="35A2FEF3" w14:textId="77777777" w:rsidR="001C1B91" w:rsidRPr="001C1B91" w:rsidRDefault="001C1B91" w:rsidP="00C455A9">
            <w:pPr>
              <w:rPr>
                <w:rFonts w:ascii="Century Gothic" w:hAnsi="Century Gothic"/>
                <w:color w:val="595959" w:themeColor="text1" w:themeTint="A6"/>
                <w:sz w:val="20"/>
                <w:szCs w:val="20"/>
              </w:rPr>
            </w:pPr>
          </w:p>
          <w:p w14:paraId="2CC0EC9D" w14:textId="77777777" w:rsidR="001C1B91" w:rsidRPr="001C1B91" w:rsidRDefault="007D4D27" w:rsidP="00C455A9">
            <w:pPr>
              <w:rPr>
                <w:rFonts w:ascii="Century Gothic" w:hAnsi="Century Gothic"/>
                <w:color w:val="595959" w:themeColor="text1" w:themeTint="A6"/>
                <w:sz w:val="20"/>
                <w:szCs w:val="20"/>
              </w:rPr>
            </w:pPr>
            <m:oMath>
              <m:sSub>
                <m:sSubPr>
                  <m:ctrlPr>
                    <w:rPr>
                      <w:rFonts w:ascii="Cambria Math" w:hAnsi="Cambria Math" w:cs="Arial"/>
                      <w:sz w:val="20"/>
                      <w:szCs w:val="20"/>
                    </w:rPr>
                  </m:ctrlPr>
                </m:sSubPr>
                <m:e>
                  <m:r>
                    <w:rPr>
                      <w:rFonts w:ascii="Cambria Math" w:hAnsi="Cambria Math" w:cs="Arial"/>
                      <w:sz w:val="20"/>
                      <w:szCs w:val="20"/>
                    </w:rPr>
                    <m:t>NEM</m:t>
                  </m:r>
                </m:e>
                <m:sub>
                  <m:r>
                    <w:rPr>
                      <w:rFonts w:ascii="Cambria Math" w:hAnsi="Cambria Math" w:cs="Arial"/>
                      <w:sz w:val="20"/>
                      <w:szCs w:val="20"/>
                    </w:rPr>
                    <m:t>t</m:t>
                  </m:r>
                </m:sub>
              </m:sSub>
            </m:oMath>
            <w:r w:rsidR="001C1B91" w:rsidRPr="001C1B91">
              <w:rPr>
                <w:rFonts w:ascii="Century Gothic" w:hAnsi="Century Gothic"/>
                <w:color w:val="595959" w:themeColor="text1" w:themeTint="A6"/>
                <w:sz w:val="20"/>
                <w:szCs w:val="20"/>
              </w:rPr>
              <w:t>: Número de empresas a nivel nacional o por provincia en el año (t)</w:t>
            </w:r>
          </w:p>
          <w:p w14:paraId="00421ED4" w14:textId="77777777" w:rsidR="001C1B91" w:rsidRPr="001C1B91" w:rsidRDefault="007D4D27" w:rsidP="00C455A9">
            <w:pPr>
              <w:rPr>
                <w:rFonts w:ascii="Century Gothic" w:hAnsi="Century Gothic"/>
                <w:color w:val="595959" w:themeColor="text1" w:themeTint="A6"/>
                <w:sz w:val="20"/>
                <w:szCs w:val="20"/>
              </w:rPr>
            </w:pPr>
            <m:oMath>
              <m:sSub>
                <m:sSubPr>
                  <m:ctrlPr>
                    <w:rPr>
                      <w:rFonts w:ascii="Cambria Math" w:hAnsi="Cambria Math" w:cs="Arial"/>
                      <w:sz w:val="20"/>
                      <w:szCs w:val="20"/>
                    </w:rPr>
                  </m:ctrlPr>
                </m:sSubPr>
                <m:e>
                  <m:r>
                    <w:rPr>
                      <w:rFonts w:ascii="Cambria Math" w:hAnsi="Cambria Math" w:cs="Arial"/>
                      <w:sz w:val="20"/>
                      <w:szCs w:val="20"/>
                    </w:rPr>
                    <m:t>POB</m:t>
                  </m:r>
                </m:e>
                <m:sub>
                  <m:r>
                    <w:rPr>
                      <w:rFonts w:ascii="Cambria Math" w:hAnsi="Cambria Math" w:cs="Arial"/>
                      <w:sz w:val="20"/>
                      <w:szCs w:val="20"/>
                    </w:rPr>
                    <m:t>t</m:t>
                  </m:r>
                </m:sub>
              </m:sSub>
            </m:oMath>
            <w:r w:rsidR="001C1B91" w:rsidRPr="001C1B91">
              <w:rPr>
                <w:rFonts w:ascii="Century Gothic" w:hAnsi="Century Gothic"/>
                <w:color w:val="595959" w:themeColor="text1" w:themeTint="A6"/>
                <w:sz w:val="20"/>
                <w:szCs w:val="20"/>
              </w:rPr>
              <w:t>: Población de empresas en el año (t) a nivel nacional o por provincia</w:t>
            </w:r>
          </w:p>
          <w:p w14:paraId="03A54BB0" w14:textId="77777777" w:rsidR="001C1B91" w:rsidRPr="001C1B91" w:rsidRDefault="001C1B91" w:rsidP="00C455A9">
            <w:pPr>
              <w:rPr>
                <w:rFonts w:ascii="Century Gothic" w:hAnsi="Century Gothic"/>
                <w:color w:val="595959" w:themeColor="text1" w:themeTint="A6"/>
                <w:sz w:val="20"/>
                <w:szCs w:val="20"/>
              </w:rPr>
            </w:pPr>
            <m:oMath>
              <m:r>
                <m:rPr>
                  <m:sty m:val="p"/>
                </m:rPr>
                <w:rPr>
                  <w:rFonts w:ascii="Cambria Math" w:hAnsi="Cambria Math" w:cs="Arial"/>
                  <w:sz w:val="20"/>
                  <w:szCs w:val="20"/>
                </w:rPr>
                <m:t>t</m:t>
              </m:r>
            </m:oMath>
            <w:r w:rsidRPr="001C1B91">
              <w:rPr>
                <w:rFonts w:ascii="Century Gothic" w:hAnsi="Century Gothic"/>
                <w:color w:val="595959" w:themeColor="text1" w:themeTint="A6"/>
                <w:sz w:val="20"/>
                <w:szCs w:val="20"/>
              </w:rPr>
              <w:t>: año de referencia</w:t>
            </w:r>
          </w:p>
        </w:tc>
      </w:tr>
      <w:tr w:rsidR="001C1B91" w:rsidRPr="00337248" w14:paraId="405DAC31" w14:textId="77777777" w:rsidTr="001C1B91">
        <w:trPr>
          <w:trHeight w:val="3055"/>
          <w:jc w:val="center"/>
        </w:trPr>
        <w:tc>
          <w:tcPr>
            <w:tcW w:w="2168" w:type="dxa"/>
            <w:shd w:val="clear" w:color="000000" w:fill="FFFFFF"/>
            <w:vAlign w:val="center"/>
          </w:tcPr>
          <w:p w14:paraId="2066FF9F"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 xml:space="preserve">Número de empresas activas </w:t>
            </w:r>
          </w:p>
          <w:p w14:paraId="2A693E78" w14:textId="52F77479" w:rsidR="001C1B91" w:rsidRPr="001C1B91" w:rsidRDefault="001C1B91" w:rsidP="00C455A9">
            <w:pPr>
              <w:jc w:val="center"/>
              <w:rPr>
                <w:rFonts w:ascii="Century Gothic" w:hAnsi="Century Gothic"/>
                <w:b/>
                <w:i/>
                <w:color w:val="595959" w:themeColor="text1" w:themeTint="A6"/>
                <w:sz w:val="20"/>
                <w:szCs w:val="20"/>
              </w:rPr>
            </w:pPr>
            <m:oMathPara>
              <m:oMath>
                <m:r>
                  <m:rPr>
                    <m:sty m:val="p"/>
                  </m:rPr>
                  <w:rPr>
                    <w:rFonts w:ascii="Cambria Math" w:hAnsi="Cambria Math" w:cs="Arial"/>
                    <w:sz w:val="20"/>
                    <w:szCs w:val="20"/>
                  </w:rPr>
                  <m:t xml:space="preserve"> </m:t>
                </m:r>
                <m:r>
                  <m:rPr>
                    <m:sty m:val="bi"/>
                  </m:rPr>
                  <w:rPr>
                    <w:rFonts w:ascii="Cambria Math" w:hAnsi="Cambria Math" w:cs="Arial"/>
                    <w:color w:val="595959" w:themeColor="text1" w:themeTint="A6"/>
                    <w:sz w:val="20"/>
                    <w:szCs w:val="20"/>
                  </w:rPr>
                  <m:t>EA</m:t>
                </m:r>
              </m:oMath>
            </m:oMathPara>
          </w:p>
        </w:tc>
        <w:tc>
          <w:tcPr>
            <w:tcW w:w="2493" w:type="dxa"/>
            <w:shd w:val="clear" w:color="000000" w:fill="FFFFFF"/>
            <w:noWrap/>
            <w:vAlign w:val="center"/>
          </w:tcPr>
          <w:p w14:paraId="228E54EB"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Es el número total de empresas activas en el Directorio de Empresas en el año t.</w:t>
            </w:r>
          </w:p>
        </w:tc>
        <w:tc>
          <w:tcPr>
            <w:tcW w:w="2268" w:type="dxa"/>
            <w:shd w:val="clear" w:color="000000" w:fill="FFFFFF"/>
            <w:vAlign w:val="center"/>
          </w:tcPr>
          <w:p w14:paraId="495C6E3F"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79FE4D89" w14:textId="77777777" w:rsidR="001C1B91" w:rsidRPr="001C1B91" w:rsidRDefault="001C1B91" w:rsidP="00C455A9">
            <w:pPr>
              <w:pStyle w:val="Prrafodelista"/>
              <w:ind w:left="360"/>
              <w:jc w:val="left"/>
              <w:rPr>
                <w:rFonts w:ascii="Century Gothic" w:hAnsi="Century Gothic"/>
                <w:color w:val="595959" w:themeColor="text1" w:themeTint="A6"/>
                <w:szCs w:val="20"/>
              </w:rPr>
            </w:pPr>
          </w:p>
        </w:tc>
        <w:tc>
          <w:tcPr>
            <w:tcW w:w="2933" w:type="dxa"/>
            <w:shd w:val="clear" w:color="000000" w:fill="FFFFFF"/>
            <w:vAlign w:val="center"/>
          </w:tcPr>
          <w:p w14:paraId="2BF17B21" w14:textId="77777777" w:rsidR="001C1B91" w:rsidRPr="001C1B91" w:rsidRDefault="001C1B91" w:rsidP="00C455A9">
            <w:pPr>
              <w:rPr>
                <w:rFonts w:ascii="Cambria Math" w:hAnsi="Cambria Math" w:cs="Arial"/>
                <w:sz w:val="20"/>
                <w:szCs w:val="20"/>
              </w:rPr>
            </w:pPr>
            <m:oMathPara>
              <m:oMath>
                <m:r>
                  <m:rPr>
                    <m:sty m:val="p"/>
                  </m:rPr>
                  <w:rPr>
                    <w:rFonts w:ascii="Cambria Math" w:hAnsi="Cambria Math" w:cs="Arial"/>
                    <w:sz w:val="20"/>
                    <w:szCs w:val="20"/>
                  </w:rPr>
                  <m:t>EA=</m:t>
                </m:r>
                <m:nary>
                  <m:naryPr>
                    <m:chr m:val="∑"/>
                    <m:limLoc m:val="undOvr"/>
                    <m:subHide m:val="1"/>
                    <m:supHide m:val="1"/>
                    <m:ctrlPr>
                      <w:rPr>
                        <w:rFonts w:ascii="Cambria Math" w:hAnsi="Cambria Math" w:cs="Arial"/>
                        <w:sz w:val="20"/>
                        <w:szCs w:val="20"/>
                      </w:rPr>
                    </m:ctrlPr>
                  </m:naryPr>
                  <m:sub/>
                  <m:sup/>
                  <m:e>
                    <m:sSub>
                      <m:sSubPr>
                        <m:ctrlPr>
                          <w:rPr>
                            <w:rFonts w:ascii="Cambria Math" w:hAnsi="Cambria Math" w:cs="Arial"/>
                            <w:sz w:val="20"/>
                            <w:szCs w:val="20"/>
                          </w:rPr>
                        </m:ctrlPr>
                      </m:sSubPr>
                      <m:e>
                        <m:r>
                          <m:rPr>
                            <m:sty m:val="p"/>
                          </m:rPr>
                          <w:rPr>
                            <w:rFonts w:ascii="Cambria Math" w:hAnsi="Cambria Math" w:cs="Arial"/>
                            <w:sz w:val="20"/>
                            <w:szCs w:val="20"/>
                          </w:rPr>
                          <m:t>EA</m:t>
                        </m:r>
                      </m:e>
                      <m:sub>
                        <m:r>
                          <m:rPr>
                            <m:sty m:val="p"/>
                          </m:rPr>
                          <w:rPr>
                            <w:rFonts w:ascii="Cambria Math" w:hAnsi="Cambria Math" w:cs="Arial"/>
                            <w:sz w:val="20"/>
                            <w:szCs w:val="20"/>
                          </w:rPr>
                          <m:t>it</m:t>
                        </m:r>
                      </m:sub>
                    </m:sSub>
                    <m:r>
                      <m:rPr>
                        <m:sty m:val="p"/>
                      </m:rPr>
                      <w:rPr>
                        <w:rFonts w:ascii="Cambria Math" w:hAnsi="Cambria Math" w:cs="Arial"/>
                        <w:sz w:val="20"/>
                        <w:szCs w:val="20"/>
                      </w:rPr>
                      <m:t xml:space="preserve"> </m:t>
                    </m:r>
                  </m:e>
                </m:nary>
              </m:oMath>
            </m:oMathPara>
          </w:p>
          <w:p w14:paraId="6A0D6C4A" w14:textId="77777777" w:rsidR="001C1B91" w:rsidRPr="001C1B91" w:rsidRDefault="001C1B91" w:rsidP="00C455A9">
            <w:pPr>
              <w:spacing w:line="360" w:lineRule="auto"/>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En donde:</w:t>
            </w:r>
            <m:oMath>
              <m:r>
                <m:rPr>
                  <m:sty m:val="p"/>
                </m:rPr>
                <w:rPr>
                  <w:rFonts w:ascii="Cambria Math" w:hAnsi="Cambria Math"/>
                  <w:color w:val="595959" w:themeColor="text1" w:themeTint="A6"/>
                  <w:sz w:val="20"/>
                  <w:szCs w:val="20"/>
                </w:rPr>
                <m:t xml:space="preserve"> </m:t>
              </m:r>
            </m:oMath>
          </w:p>
          <w:p w14:paraId="200041C7" w14:textId="77777777" w:rsidR="001C1B91" w:rsidRPr="001C1B91" w:rsidRDefault="001C1B91" w:rsidP="00C455A9">
            <w:pPr>
              <w:rPr>
                <w:rFonts w:ascii="Century Gothic" w:eastAsiaTheme="minorEastAsia" w:hAnsi="Century Gothic"/>
                <w:color w:val="595959" w:themeColor="text1" w:themeTint="A6"/>
                <w:sz w:val="20"/>
                <w:szCs w:val="20"/>
              </w:rPr>
            </w:pPr>
            <m:oMath>
              <m:r>
                <m:rPr>
                  <m:sty m:val="p"/>
                </m:rPr>
                <w:rPr>
                  <w:rFonts w:ascii="Cambria Math" w:hAnsi="Cambria Math" w:cs="Arial"/>
                  <w:sz w:val="20"/>
                  <w:szCs w:val="20"/>
                </w:rPr>
                <m:t>EA</m:t>
              </m:r>
            </m:oMath>
            <w:r w:rsidRPr="001C1B91">
              <w:rPr>
                <w:rFonts w:ascii="Century Gothic" w:hAnsi="Century Gothic"/>
                <w:color w:val="595959" w:themeColor="text1" w:themeTint="A6"/>
                <w:sz w:val="20"/>
                <w:szCs w:val="20"/>
              </w:rPr>
              <w:t>: Suma total de empresas activas en el año (t)</w:t>
            </w:r>
          </w:p>
          <w:p w14:paraId="44E8428A" w14:textId="77777777" w:rsidR="001C1B91" w:rsidRPr="001C1B91" w:rsidRDefault="007D4D27" w:rsidP="00C455A9">
            <w:pPr>
              <w:rPr>
                <w:rFonts w:ascii="Century Gothic" w:hAnsi="Century Gothic"/>
                <w:color w:val="595959" w:themeColor="text1" w:themeTint="A6"/>
                <w:sz w:val="20"/>
                <w:szCs w:val="20"/>
              </w:rPr>
            </w:pPr>
            <m:oMath>
              <m:sSub>
                <m:sSubPr>
                  <m:ctrlPr>
                    <w:rPr>
                      <w:rFonts w:ascii="Cambria Math" w:hAnsi="Cambria Math" w:cs="Arial"/>
                      <w:sz w:val="20"/>
                      <w:szCs w:val="20"/>
                    </w:rPr>
                  </m:ctrlPr>
                </m:sSubPr>
                <m:e>
                  <m:r>
                    <m:rPr>
                      <m:sty m:val="p"/>
                    </m:rPr>
                    <w:rPr>
                      <w:rFonts w:ascii="Cambria Math" w:hAnsi="Cambria Math" w:cs="Arial"/>
                      <w:sz w:val="20"/>
                      <w:szCs w:val="20"/>
                    </w:rPr>
                    <m:t>EA</m:t>
                  </m:r>
                </m:e>
                <m:sub>
                  <m:r>
                    <m:rPr>
                      <m:sty m:val="p"/>
                    </m:rPr>
                    <w:rPr>
                      <w:rFonts w:ascii="Cambria Math" w:hAnsi="Cambria Math" w:cs="Arial"/>
                      <w:sz w:val="20"/>
                      <w:szCs w:val="20"/>
                    </w:rPr>
                    <m:t>i</m:t>
                  </m:r>
                </m:sub>
              </m:sSub>
              <m:r>
                <m:rPr>
                  <m:sty m:val="p"/>
                </m:rPr>
                <w:rPr>
                  <w:rFonts w:ascii="Cambria Math" w:hAnsi="Cambria Math" w:cs="Arial"/>
                  <w:sz w:val="20"/>
                  <w:szCs w:val="20"/>
                </w:rPr>
                <m:t xml:space="preserve"> </m:t>
              </m:r>
            </m:oMath>
            <w:r w:rsidR="001C1B91" w:rsidRPr="001C1B91">
              <w:rPr>
                <w:rFonts w:ascii="Century Gothic" w:hAnsi="Century Gothic"/>
                <w:color w:val="595959" w:themeColor="text1" w:themeTint="A6"/>
                <w:sz w:val="20"/>
                <w:szCs w:val="20"/>
              </w:rPr>
              <w:t xml:space="preserve">: Empresa activa </w:t>
            </w:r>
            <m:oMath>
              <m:r>
                <w:rPr>
                  <w:rFonts w:ascii="Cambria Math" w:eastAsia="Arial Unicode MS" w:hAnsi="Cambria Math"/>
                  <w:color w:val="000000"/>
                  <w:sz w:val="20"/>
                  <w:szCs w:val="20"/>
                  <w:lang w:eastAsia="es-MX"/>
                </w:rPr>
                <m:t>i</m:t>
              </m:r>
            </m:oMath>
            <w:r w:rsidR="001C1B91" w:rsidRPr="001C1B91" w:rsidDel="006452F9">
              <w:rPr>
                <w:rFonts w:ascii="Century Gothic" w:hAnsi="Century Gothic"/>
                <w:color w:val="595959" w:themeColor="text1" w:themeTint="A6"/>
                <w:sz w:val="20"/>
                <w:szCs w:val="20"/>
              </w:rPr>
              <w:t xml:space="preserve"> </w:t>
            </w:r>
            <w:r w:rsidR="001C1B91" w:rsidRPr="001C1B91">
              <w:rPr>
                <w:rFonts w:ascii="Century Gothic" w:hAnsi="Century Gothic"/>
                <w:color w:val="595959" w:themeColor="text1" w:themeTint="A6"/>
                <w:sz w:val="20"/>
                <w:szCs w:val="20"/>
              </w:rPr>
              <w:t>.</w:t>
            </w:r>
          </w:p>
          <w:p w14:paraId="1D4D7A68" w14:textId="77777777" w:rsidR="001C1B91" w:rsidRPr="001C1B91" w:rsidRDefault="001C1B91" w:rsidP="00C455A9">
            <w:pPr>
              <w:rPr>
                <w:rFonts w:ascii="Century Gothic" w:hAnsi="Century Gothic"/>
                <w:color w:val="595959" w:themeColor="text1" w:themeTint="A6"/>
                <w:sz w:val="20"/>
                <w:szCs w:val="20"/>
              </w:rPr>
            </w:pPr>
            <m:oMath>
              <m:r>
                <m:rPr>
                  <m:sty m:val="p"/>
                </m:rPr>
                <w:rPr>
                  <w:rFonts w:ascii="Cambria Math" w:hAnsi="Cambria Math" w:cs="Arial"/>
                  <w:sz w:val="20"/>
                  <w:szCs w:val="20"/>
                </w:rPr>
                <m:t>t</m:t>
              </m:r>
            </m:oMath>
            <w:r w:rsidRPr="001C1B91">
              <w:rPr>
                <w:rFonts w:ascii="Century Gothic" w:hAnsi="Century Gothic"/>
                <w:color w:val="595959" w:themeColor="text1" w:themeTint="A6"/>
                <w:sz w:val="20"/>
                <w:szCs w:val="20"/>
              </w:rPr>
              <w:t>: año de referencia</w:t>
            </w:r>
          </w:p>
        </w:tc>
      </w:tr>
      <w:tr w:rsidR="001C1B91" w:rsidRPr="00337248" w14:paraId="4BCEECA4" w14:textId="77777777" w:rsidTr="001C1B91">
        <w:trPr>
          <w:trHeight w:val="1925"/>
          <w:jc w:val="center"/>
        </w:trPr>
        <w:tc>
          <w:tcPr>
            <w:tcW w:w="2168" w:type="dxa"/>
            <w:shd w:val="clear" w:color="000000" w:fill="FFFFFF"/>
            <w:vAlign w:val="center"/>
          </w:tcPr>
          <w:p w14:paraId="64A3A76B"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Valor de ventas de empresas activas</w:t>
            </w:r>
          </w:p>
          <w:p w14:paraId="755AA8FB" w14:textId="3AFB766A" w:rsidR="001C1B91" w:rsidRPr="001C1B91" w:rsidRDefault="001C1B91" w:rsidP="00C455A9">
            <w:pPr>
              <w:jc w:val="center"/>
              <w:rPr>
                <w:rFonts w:ascii="Century Gothic" w:hAnsi="Century Gothic"/>
                <w:b/>
                <w:i/>
                <w:color w:val="595959" w:themeColor="text1" w:themeTint="A6"/>
                <w:sz w:val="20"/>
                <w:szCs w:val="20"/>
              </w:rPr>
            </w:pPr>
            <m:oMathPara>
              <m:oMath>
                <m:r>
                  <m:rPr>
                    <m:sty m:val="bi"/>
                  </m:rPr>
                  <w:rPr>
                    <w:rFonts w:ascii="Cambria Math" w:eastAsia="Arial Unicode MS" w:hAnsi="Cambria Math"/>
                    <w:color w:val="595959" w:themeColor="text1" w:themeTint="A6"/>
                    <w:sz w:val="20"/>
                    <w:szCs w:val="20"/>
                    <w:lang w:eastAsia="es-MX"/>
                  </w:rPr>
                  <m:t>VT</m:t>
                </m:r>
              </m:oMath>
            </m:oMathPara>
          </w:p>
        </w:tc>
        <w:tc>
          <w:tcPr>
            <w:tcW w:w="2493" w:type="dxa"/>
            <w:shd w:val="clear" w:color="000000" w:fill="FFFFFF"/>
            <w:noWrap/>
            <w:vAlign w:val="center"/>
          </w:tcPr>
          <w:p w14:paraId="3211A1B7"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Es el monto total de ventas de las empresas activas en el Directorio de Empresas en el año t.</w:t>
            </w:r>
          </w:p>
        </w:tc>
        <w:tc>
          <w:tcPr>
            <w:tcW w:w="2268" w:type="dxa"/>
            <w:shd w:val="clear" w:color="000000" w:fill="FFFFFF"/>
            <w:vAlign w:val="center"/>
          </w:tcPr>
          <w:p w14:paraId="6975BF1F"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6531F9B4" w14:textId="77777777" w:rsidR="001C1B91" w:rsidRPr="001C1B91" w:rsidRDefault="001C1B91" w:rsidP="001C1B91">
            <w:pPr>
              <w:pStyle w:val="Prrafodelista"/>
              <w:numPr>
                <w:ilvl w:val="0"/>
                <w:numId w:val="17"/>
              </w:numPr>
              <w:spacing w:after="0" w:line="240" w:lineRule="auto"/>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Ventas totales</w:t>
            </w:r>
          </w:p>
          <w:p w14:paraId="49454861" w14:textId="77777777" w:rsidR="001C1B91" w:rsidRPr="001C1B91" w:rsidRDefault="001C1B91" w:rsidP="00C455A9">
            <w:pPr>
              <w:pStyle w:val="Prrafodelista"/>
              <w:spacing w:after="0" w:line="240" w:lineRule="auto"/>
              <w:ind w:left="360"/>
              <w:jc w:val="left"/>
              <w:rPr>
                <w:rFonts w:ascii="Century Gothic" w:hAnsi="Century Gothic"/>
                <w:color w:val="595959" w:themeColor="text1" w:themeTint="A6"/>
                <w:szCs w:val="20"/>
              </w:rPr>
            </w:pPr>
          </w:p>
        </w:tc>
        <w:tc>
          <w:tcPr>
            <w:tcW w:w="2933" w:type="dxa"/>
            <w:shd w:val="clear" w:color="000000" w:fill="FFFFFF"/>
            <w:vAlign w:val="center"/>
          </w:tcPr>
          <w:p w14:paraId="01F690DA" w14:textId="77777777" w:rsidR="001C1B91" w:rsidRPr="001C1B91" w:rsidRDefault="001C1B91" w:rsidP="00C455A9">
            <w:pPr>
              <w:rPr>
                <w:rFonts w:eastAsia="Arial Unicode MS"/>
                <w:bCs/>
                <w:color w:val="000000"/>
                <w:sz w:val="20"/>
                <w:szCs w:val="20"/>
                <w:lang w:eastAsia="es-MX"/>
              </w:rPr>
            </w:pPr>
            <m:oMathPara>
              <m:oMath>
                <m:r>
                  <w:rPr>
                    <w:rFonts w:ascii="Cambria Math" w:eastAsia="Arial Unicode MS" w:hAnsi="Cambria Math"/>
                    <w:color w:val="000000"/>
                    <w:sz w:val="20"/>
                    <w:szCs w:val="20"/>
                    <w:lang w:eastAsia="es-MX"/>
                  </w:rPr>
                  <m:t>VT=</m:t>
                </m:r>
                <m:nary>
                  <m:naryPr>
                    <m:chr m:val="∑"/>
                    <m:limLoc m:val="undOvr"/>
                    <m:subHide m:val="1"/>
                    <m:supHide m:val="1"/>
                    <m:ctrlPr>
                      <w:rPr>
                        <w:rFonts w:ascii="Cambria Math" w:eastAsia="Arial Unicode MS" w:hAnsi="Cambria Math"/>
                        <w:bCs/>
                        <w:i/>
                        <w:color w:val="000000"/>
                        <w:sz w:val="20"/>
                        <w:szCs w:val="20"/>
                        <w:lang w:eastAsia="es-MX"/>
                      </w:rPr>
                    </m:ctrlPr>
                  </m:naryPr>
                  <m:sub/>
                  <m:sup/>
                  <m:e>
                    <m:sSub>
                      <m:sSubPr>
                        <m:ctrlPr>
                          <w:rPr>
                            <w:rFonts w:ascii="Cambria Math" w:eastAsia="Arial Unicode MS" w:hAnsi="Cambria Math"/>
                            <w:bCs/>
                            <w:i/>
                            <w:color w:val="000000"/>
                            <w:sz w:val="20"/>
                            <w:szCs w:val="20"/>
                            <w:lang w:eastAsia="es-MX"/>
                          </w:rPr>
                        </m:ctrlPr>
                      </m:sSubPr>
                      <m:e>
                        <m:r>
                          <w:rPr>
                            <w:rFonts w:ascii="Cambria Math" w:eastAsia="Arial Unicode MS" w:hAnsi="Cambria Math"/>
                            <w:color w:val="000000"/>
                            <w:sz w:val="20"/>
                            <w:szCs w:val="20"/>
                            <w:lang w:eastAsia="es-MX"/>
                          </w:rPr>
                          <m:t>VT</m:t>
                        </m:r>
                      </m:e>
                      <m:sub>
                        <m:r>
                          <w:rPr>
                            <w:rFonts w:ascii="Cambria Math" w:eastAsia="Arial Unicode MS" w:hAnsi="Cambria Math"/>
                            <w:color w:val="000000"/>
                            <w:sz w:val="20"/>
                            <w:szCs w:val="20"/>
                            <w:lang w:eastAsia="es-MX"/>
                          </w:rPr>
                          <m:t>it</m:t>
                        </m:r>
                      </m:sub>
                    </m:sSub>
                    <m:r>
                      <w:rPr>
                        <w:rFonts w:ascii="Cambria Math" w:eastAsia="Arial Unicode MS" w:hAnsi="Cambria Math"/>
                        <w:color w:val="000000"/>
                        <w:sz w:val="20"/>
                        <w:szCs w:val="20"/>
                        <w:lang w:eastAsia="es-MX"/>
                      </w:rPr>
                      <m:t xml:space="preserve"> </m:t>
                    </m:r>
                  </m:e>
                </m:nary>
              </m:oMath>
            </m:oMathPara>
          </w:p>
          <w:p w14:paraId="6B1FA5FA" w14:textId="77777777" w:rsidR="001C1B91" w:rsidRPr="001C1B91" w:rsidRDefault="001C1B91" w:rsidP="00C455A9">
            <w:pPr>
              <w:spacing w:line="360" w:lineRule="auto"/>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En donde:</w:t>
            </w:r>
            <m:oMath>
              <m:r>
                <m:rPr>
                  <m:sty m:val="p"/>
                </m:rPr>
                <w:rPr>
                  <w:rFonts w:ascii="Cambria Math" w:hAnsi="Cambria Math"/>
                  <w:color w:val="595959" w:themeColor="text1" w:themeTint="A6"/>
                  <w:sz w:val="20"/>
                  <w:szCs w:val="20"/>
                </w:rPr>
                <m:t xml:space="preserve"> </m:t>
              </m:r>
            </m:oMath>
          </w:p>
          <w:p w14:paraId="382F5D29" w14:textId="77777777" w:rsidR="001C1B91" w:rsidRPr="001C1B91" w:rsidRDefault="001C1B91" w:rsidP="00C455A9">
            <w:pPr>
              <w:rPr>
                <w:rFonts w:ascii="Century Gothic" w:hAnsi="Century Gothic"/>
                <w:color w:val="595959" w:themeColor="text1" w:themeTint="A6"/>
                <w:sz w:val="20"/>
                <w:szCs w:val="20"/>
              </w:rPr>
            </w:pPr>
            <m:oMath>
              <m:r>
                <w:rPr>
                  <w:rFonts w:ascii="Cambria Math" w:eastAsia="Arial Unicode MS" w:hAnsi="Cambria Math"/>
                  <w:color w:val="000000"/>
                  <w:sz w:val="20"/>
                  <w:szCs w:val="20"/>
                  <w:lang w:eastAsia="es-MX"/>
                </w:rPr>
                <m:t>VT</m:t>
              </m:r>
            </m:oMath>
            <w:r w:rsidRPr="001C1B91">
              <w:rPr>
                <w:rFonts w:ascii="Century Gothic" w:hAnsi="Century Gothic"/>
                <w:color w:val="595959" w:themeColor="text1" w:themeTint="A6"/>
                <w:sz w:val="20"/>
                <w:szCs w:val="20"/>
              </w:rPr>
              <w:t>: Suma total de ventas de las empresas activas.</w:t>
            </w:r>
          </w:p>
          <w:p w14:paraId="0C15C9AF" w14:textId="77777777" w:rsidR="001C1B91" w:rsidRPr="001C1B91" w:rsidRDefault="007D4D27" w:rsidP="00C455A9">
            <w:pPr>
              <w:rPr>
                <w:rFonts w:ascii="Century Gothic" w:hAnsi="Century Gothic"/>
                <w:color w:val="595959" w:themeColor="text1" w:themeTint="A6"/>
                <w:sz w:val="20"/>
                <w:szCs w:val="20"/>
              </w:rPr>
            </w:pPr>
            <m:oMath>
              <m:sSub>
                <m:sSubPr>
                  <m:ctrlPr>
                    <w:rPr>
                      <w:rFonts w:ascii="Cambria Math" w:eastAsia="Arial Unicode MS" w:hAnsi="Cambria Math"/>
                      <w:bCs/>
                      <w:i/>
                      <w:color w:val="000000"/>
                      <w:sz w:val="20"/>
                      <w:szCs w:val="20"/>
                      <w:lang w:eastAsia="es-MX"/>
                    </w:rPr>
                  </m:ctrlPr>
                </m:sSubPr>
                <m:e>
                  <m:r>
                    <w:rPr>
                      <w:rFonts w:ascii="Cambria Math" w:eastAsia="Arial Unicode MS" w:hAnsi="Cambria Math"/>
                      <w:color w:val="000000"/>
                      <w:sz w:val="20"/>
                      <w:szCs w:val="20"/>
                      <w:lang w:eastAsia="es-MX"/>
                    </w:rPr>
                    <m:t>VT</m:t>
                  </m:r>
                </m:e>
                <m:sub>
                  <m:r>
                    <w:rPr>
                      <w:rFonts w:ascii="Cambria Math" w:eastAsia="Arial Unicode MS" w:hAnsi="Cambria Math"/>
                      <w:color w:val="000000"/>
                      <w:sz w:val="20"/>
                      <w:szCs w:val="20"/>
                      <w:lang w:eastAsia="es-MX"/>
                    </w:rPr>
                    <m:t>i</m:t>
                  </m:r>
                </m:sub>
              </m:sSub>
            </m:oMath>
            <w:r w:rsidR="001C1B91" w:rsidRPr="001C1B91">
              <w:rPr>
                <w:rFonts w:ascii="Century Gothic" w:hAnsi="Century Gothic"/>
                <w:color w:val="595959" w:themeColor="text1" w:themeTint="A6"/>
                <w:sz w:val="20"/>
                <w:szCs w:val="20"/>
              </w:rPr>
              <w:t xml:space="preserve">: Valor de ventas de la empresa activa </w:t>
            </w:r>
            <m:oMath>
              <m:r>
                <w:rPr>
                  <w:rFonts w:ascii="Cambria Math" w:eastAsia="Arial Unicode MS" w:hAnsi="Cambria Math"/>
                  <w:color w:val="000000"/>
                  <w:sz w:val="20"/>
                  <w:szCs w:val="20"/>
                  <w:lang w:eastAsia="es-MX"/>
                </w:rPr>
                <m:t>i</m:t>
              </m:r>
            </m:oMath>
            <w:r w:rsidR="001C1B91" w:rsidRPr="001C1B91" w:rsidDel="006452F9">
              <w:rPr>
                <w:rFonts w:ascii="Century Gothic" w:hAnsi="Century Gothic"/>
                <w:color w:val="595959" w:themeColor="text1" w:themeTint="A6"/>
                <w:sz w:val="20"/>
                <w:szCs w:val="20"/>
              </w:rPr>
              <w:t xml:space="preserve"> </w:t>
            </w:r>
            <w:r w:rsidR="001C1B91" w:rsidRPr="001C1B91">
              <w:rPr>
                <w:rFonts w:ascii="Century Gothic" w:hAnsi="Century Gothic"/>
                <w:color w:val="595959" w:themeColor="text1" w:themeTint="A6"/>
                <w:sz w:val="20"/>
                <w:szCs w:val="20"/>
              </w:rPr>
              <w:t>.</w:t>
            </w:r>
          </w:p>
          <w:p w14:paraId="3AE7059B" w14:textId="77777777" w:rsidR="001C1B91" w:rsidRPr="001C1B91" w:rsidRDefault="001C1B91" w:rsidP="00C455A9">
            <w:pPr>
              <w:rPr>
                <w:rFonts w:ascii="Century Gothic" w:hAnsi="Century Gothic"/>
                <w:color w:val="595959" w:themeColor="text1" w:themeTint="A6"/>
                <w:sz w:val="20"/>
                <w:szCs w:val="20"/>
              </w:rPr>
            </w:pPr>
            <m:oMath>
              <m:r>
                <m:rPr>
                  <m:sty m:val="p"/>
                </m:rPr>
                <w:rPr>
                  <w:rFonts w:ascii="Cambria Math" w:hAnsi="Cambria Math" w:cs="Arial"/>
                  <w:sz w:val="20"/>
                  <w:szCs w:val="20"/>
                </w:rPr>
                <m:t>t</m:t>
              </m:r>
            </m:oMath>
            <w:r w:rsidRPr="001C1B91">
              <w:rPr>
                <w:rFonts w:ascii="Century Gothic" w:hAnsi="Century Gothic"/>
                <w:color w:val="595959" w:themeColor="text1" w:themeTint="A6"/>
                <w:sz w:val="20"/>
                <w:szCs w:val="20"/>
              </w:rPr>
              <w:t>: año de referencia</w:t>
            </w:r>
          </w:p>
        </w:tc>
      </w:tr>
      <w:tr w:rsidR="001C1B91" w:rsidRPr="00337248" w14:paraId="1D29B3AB" w14:textId="77777777" w:rsidTr="001C1B91">
        <w:trPr>
          <w:trHeight w:val="856"/>
          <w:jc w:val="center"/>
        </w:trPr>
        <w:tc>
          <w:tcPr>
            <w:tcW w:w="2168" w:type="dxa"/>
            <w:shd w:val="clear" w:color="000000" w:fill="FFFFFF"/>
            <w:vAlign w:val="center"/>
          </w:tcPr>
          <w:p w14:paraId="5C59278B"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Cantidad de Plazas de empleo registrado de las empresas activas.</w:t>
            </w:r>
          </w:p>
          <w:p w14:paraId="634EE2C6" w14:textId="55A5982B" w:rsidR="001C1B91" w:rsidRPr="001C1B91" w:rsidRDefault="001C1B91" w:rsidP="00C455A9">
            <w:pPr>
              <w:jc w:val="center"/>
              <w:rPr>
                <w:rFonts w:ascii="Century Gothic" w:hAnsi="Century Gothic"/>
                <w:b/>
                <w:i/>
                <w:color w:val="595959" w:themeColor="text1" w:themeTint="A6"/>
                <w:sz w:val="20"/>
                <w:szCs w:val="20"/>
              </w:rPr>
            </w:pPr>
            <m:oMathPara>
              <m:oMath>
                <m:r>
                  <m:rPr>
                    <m:sty m:val="bi"/>
                  </m:rPr>
                  <w:rPr>
                    <w:rFonts w:ascii="Cambria Math" w:hAnsi="Cambria Math"/>
                    <w:color w:val="595959" w:themeColor="text1" w:themeTint="A6"/>
                    <w:sz w:val="20"/>
                    <w:szCs w:val="20"/>
                  </w:rPr>
                  <m:t>PER</m:t>
                </m:r>
              </m:oMath>
            </m:oMathPara>
          </w:p>
        </w:tc>
        <w:tc>
          <w:tcPr>
            <w:tcW w:w="2493" w:type="dxa"/>
            <w:shd w:val="clear" w:color="000000" w:fill="FFFFFF"/>
            <w:noWrap/>
            <w:vAlign w:val="center"/>
          </w:tcPr>
          <w:p w14:paraId="645EB99E"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Es la cantidad de plazas de empleo registrado en la seguridad social de las empresas activas en el Directorio de Empresas en el año t.</w:t>
            </w:r>
          </w:p>
        </w:tc>
        <w:tc>
          <w:tcPr>
            <w:tcW w:w="2268" w:type="dxa"/>
            <w:shd w:val="clear" w:color="000000" w:fill="FFFFFF"/>
            <w:vAlign w:val="center"/>
          </w:tcPr>
          <w:p w14:paraId="2103CD9F"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29F423D4" w14:textId="610D1EAC" w:rsidR="001C1B91" w:rsidRPr="001C1B91" w:rsidRDefault="001C1B91" w:rsidP="001C1B91">
            <w:pPr>
              <w:pStyle w:val="Prrafodelista"/>
              <w:numPr>
                <w:ilvl w:val="0"/>
                <w:numId w:val="17"/>
              </w:numPr>
              <w:spacing w:after="0" w:line="240" w:lineRule="auto"/>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w:t>
            </w:r>
            <w:r w:rsidR="000E7820">
              <w:rPr>
                <w:rFonts w:ascii="Century Gothic" w:hAnsi="Century Gothic"/>
                <w:color w:val="595959" w:themeColor="text1" w:themeTint="A6"/>
                <w:szCs w:val="20"/>
              </w:rPr>
              <w:t xml:space="preserve"> equivalente</w:t>
            </w:r>
          </w:p>
          <w:p w14:paraId="160F5868" w14:textId="77777777" w:rsidR="001C1B91" w:rsidRPr="001C1B91" w:rsidRDefault="001C1B91" w:rsidP="00C455A9">
            <w:pPr>
              <w:pStyle w:val="Prrafodelista"/>
              <w:spacing w:after="0" w:line="240" w:lineRule="auto"/>
              <w:ind w:left="360"/>
              <w:jc w:val="left"/>
              <w:rPr>
                <w:rFonts w:ascii="Century Gothic" w:hAnsi="Century Gothic"/>
                <w:color w:val="595959" w:themeColor="text1" w:themeTint="A6"/>
                <w:szCs w:val="20"/>
              </w:rPr>
            </w:pPr>
          </w:p>
        </w:tc>
        <w:tc>
          <w:tcPr>
            <w:tcW w:w="2933" w:type="dxa"/>
            <w:shd w:val="clear" w:color="000000" w:fill="FFFFFF"/>
            <w:vAlign w:val="center"/>
          </w:tcPr>
          <w:p w14:paraId="65BF3FD5" w14:textId="77777777" w:rsidR="001C1B91" w:rsidRPr="001C1B91" w:rsidRDefault="001C1B91" w:rsidP="00C455A9">
            <w:pPr>
              <w:rPr>
                <w:rFonts w:eastAsia="Arial Unicode MS"/>
                <w:bCs/>
                <w:color w:val="000000"/>
                <w:sz w:val="20"/>
                <w:szCs w:val="20"/>
                <w:lang w:eastAsia="es-MX"/>
              </w:rPr>
            </w:pPr>
            <m:oMathPara>
              <m:oMath>
                <m:r>
                  <w:rPr>
                    <w:rFonts w:ascii="Cambria Math" w:eastAsia="Arial Unicode MS" w:hAnsi="Cambria Math"/>
                    <w:color w:val="000000"/>
                    <w:sz w:val="20"/>
                    <w:szCs w:val="20"/>
                    <w:lang w:eastAsia="es-MX"/>
                  </w:rPr>
                  <m:t>PER=</m:t>
                </m:r>
                <m:nary>
                  <m:naryPr>
                    <m:chr m:val="∑"/>
                    <m:limLoc m:val="undOvr"/>
                    <m:subHide m:val="1"/>
                    <m:supHide m:val="1"/>
                    <m:ctrlPr>
                      <w:rPr>
                        <w:rFonts w:ascii="Cambria Math" w:eastAsia="Arial Unicode MS" w:hAnsi="Cambria Math"/>
                        <w:bCs/>
                        <w:i/>
                        <w:color w:val="000000"/>
                        <w:sz w:val="20"/>
                        <w:szCs w:val="20"/>
                        <w:lang w:eastAsia="es-MX"/>
                      </w:rPr>
                    </m:ctrlPr>
                  </m:naryPr>
                  <m:sub/>
                  <m:sup/>
                  <m:e>
                    <m:sSub>
                      <m:sSubPr>
                        <m:ctrlPr>
                          <w:rPr>
                            <w:rFonts w:ascii="Cambria Math" w:eastAsia="Arial Unicode MS" w:hAnsi="Cambria Math"/>
                            <w:bCs/>
                            <w:i/>
                            <w:color w:val="000000"/>
                            <w:sz w:val="20"/>
                            <w:szCs w:val="20"/>
                            <w:lang w:eastAsia="es-MX"/>
                          </w:rPr>
                        </m:ctrlPr>
                      </m:sSubPr>
                      <m:e>
                        <m:r>
                          <w:rPr>
                            <w:rFonts w:ascii="Cambria Math" w:eastAsia="Arial Unicode MS" w:hAnsi="Cambria Math"/>
                            <w:color w:val="000000"/>
                            <w:sz w:val="20"/>
                            <w:szCs w:val="20"/>
                            <w:lang w:eastAsia="es-MX"/>
                          </w:rPr>
                          <m:t>PER</m:t>
                        </m:r>
                      </m:e>
                      <m:sub>
                        <m:r>
                          <w:rPr>
                            <w:rFonts w:ascii="Cambria Math" w:eastAsia="Arial Unicode MS" w:hAnsi="Cambria Math"/>
                            <w:color w:val="000000"/>
                            <w:sz w:val="20"/>
                            <w:szCs w:val="20"/>
                            <w:lang w:eastAsia="es-MX"/>
                          </w:rPr>
                          <m:t>it</m:t>
                        </m:r>
                      </m:sub>
                    </m:sSub>
                    <m:r>
                      <w:rPr>
                        <w:rFonts w:ascii="Cambria Math" w:eastAsia="Arial Unicode MS" w:hAnsi="Cambria Math"/>
                        <w:color w:val="000000"/>
                        <w:sz w:val="20"/>
                        <w:szCs w:val="20"/>
                        <w:lang w:eastAsia="es-MX"/>
                      </w:rPr>
                      <m:t xml:space="preserve"> </m:t>
                    </m:r>
                  </m:e>
                </m:nary>
              </m:oMath>
            </m:oMathPara>
          </w:p>
          <w:p w14:paraId="7500B51A" w14:textId="77777777" w:rsidR="001C1B91" w:rsidRPr="001C1B91" w:rsidRDefault="001C1B91" w:rsidP="00C455A9">
            <w:pPr>
              <w:spacing w:line="360" w:lineRule="auto"/>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En donde:</w:t>
            </w:r>
            <m:oMath>
              <m:r>
                <m:rPr>
                  <m:sty m:val="p"/>
                </m:rPr>
                <w:rPr>
                  <w:rFonts w:ascii="Cambria Math" w:hAnsi="Cambria Math"/>
                  <w:color w:val="595959" w:themeColor="text1" w:themeTint="A6"/>
                  <w:sz w:val="20"/>
                  <w:szCs w:val="20"/>
                </w:rPr>
                <m:t xml:space="preserve"> </m:t>
              </m:r>
            </m:oMath>
          </w:p>
          <w:p w14:paraId="3730A7C6" w14:textId="44F2D818" w:rsidR="001C1B91" w:rsidRPr="001C1B91" w:rsidRDefault="001C1B91" w:rsidP="00C455A9">
            <w:pPr>
              <w:rPr>
                <w:rFonts w:ascii="Century Gothic" w:hAnsi="Century Gothic"/>
                <w:color w:val="595959" w:themeColor="text1" w:themeTint="A6"/>
                <w:sz w:val="20"/>
                <w:szCs w:val="20"/>
              </w:rPr>
            </w:pPr>
            <m:oMath>
              <m:r>
                <w:rPr>
                  <w:rFonts w:ascii="Cambria Math" w:eastAsia="Arial Unicode MS" w:hAnsi="Cambria Math"/>
                  <w:color w:val="000000"/>
                  <w:sz w:val="20"/>
                  <w:szCs w:val="20"/>
                  <w:lang w:eastAsia="es-MX"/>
                </w:rPr>
                <m:t>PER</m:t>
              </m:r>
            </m:oMath>
            <w:r w:rsidRPr="001C1B91">
              <w:rPr>
                <w:rFonts w:ascii="Century Gothic" w:hAnsi="Century Gothic"/>
                <w:color w:val="595959" w:themeColor="text1" w:themeTint="A6"/>
                <w:sz w:val="20"/>
                <w:szCs w:val="20"/>
              </w:rPr>
              <w:t xml:space="preserve">: Suma total de plazas de empleo registrado </w:t>
            </w:r>
            <w:r w:rsidR="005C4F70">
              <w:rPr>
                <w:rFonts w:ascii="Century Gothic" w:hAnsi="Century Gothic"/>
                <w:color w:val="595959" w:themeColor="text1" w:themeTint="A6"/>
                <w:sz w:val="20"/>
                <w:szCs w:val="20"/>
              </w:rPr>
              <w:t xml:space="preserve">equivalente </w:t>
            </w:r>
            <w:r w:rsidRPr="001C1B91">
              <w:rPr>
                <w:rFonts w:ascii="Century Gothic" w:hAnsi="Century Gothic"/>
                <w:color w:val="595959" w:themeColor="text1" w:themeTint="A6"/>
                <w:sz w:val="20"/>
                <w:szCs w:val="20"/>
              </w:rPr>
              <w:t xml:space="preserve">de las empresas activas </w:t>
            </w:r>
          </w:p>
          <w:p w14:paraId="60A11E2F" w14:textId="2426571C" w:rsidR="001C1B91" w:rsidRPr="001C1B91" w:rsidRDefault="007D4D27" w:rsidP="00C455A9">
            <w:pPr>
              <w:rPr>
                <w:rFonts w:ascii="Century Gothic" w:hAnsi="Century Gothic"/>
                <w:color w:val="595959" w:themeColor="text1" w:themeTint="A6"/>
                <w:sz w:val="20"/>
                <w:szCs w:val="20"/>
              </w:rPr>
            </w:pPr>
            <m:oMath>
              <m:sSub>
                <m:sSubPr>
                  <m:ctrlPr>
                    <w:rPr>
                      <w:rFonts w:ascii="Cambria Math" w:eastAsia="Arial Unicode MS" w:hAnsi="Cambria Math"/>
                      <w:bCs/>
                      <w:i/>
                      <w:color w:val="000000"/>
                      <w:sz w:val="20"/>
                      <w:szCs w:val="20"/>
                      <w:lang w:eastAsia="es-MX"/>
                    </w:rPr>
                  </m:ctrlPr>
                </m:sSubPr>
                <m:e>
                  <m:r>
                    <w:rPr>
                      <w:rFonts w:ascii="Cambria Math" w:eastAsia="Arial Unicode MS" w:hAnsi="Cambria Math"/>
                      <w:color w:val="000000"/>
                      <w:sz w:val="20"/>
                      <w:szCs w:val="20"/>
                      <w:lang w:eastAsia="es-MX"/>
                    </w:rPr>
                    <m:t>PER</m:t>
                  </m:r>
                </m:e>
                <m:sub>
                  <m:r>
                    <w:rPr>
                      <w:rFonts w:ascii="Cambria Math" w:eastAsia="Arial Unicode MS" w:hAnsi="Cambria Math"/>
                      <w:color w:val="000000"/>
                      <w:sz w:val="20"/>
                      <w:szCs w:val="20"/>
                      <w:lang w:eastAsia="es-MX"/>
                    </w:rPr>
                    <m:t>i</m:t>
                  </m:r>
                </m:sub>
              </m:sSub>
            </m:oMath>
            <w:r w:rsidR="001C1B91" w:rsidRPr="001C1B91">
              <w:rPr>
                <w:rFonts w:ascii="Century Gothic" w:hAnsi="Century Gothic"/>
                <w:color w:val="595959" w:themeColor="text1" w:themeTint="A6"/>
                <w:sz w:val="20"/>
                <w:szCs w:val="20"/>
              </w:rPr>
              <w:t xml:space="preserve">: Valor de las plazas de empleo registrado </w:t>
            </w:r>
            <w:r w:rsidR="005C4F70">
              <w:rPr>
                <w:rFonts w:ascii="Century Gothic" w:hAnsi="Century Gothic"/>
                <w:color w:val="595959" w:themeColor="text1" w:themeTint="A6"/>
                <w:sz w:val="20"/>
                <w:szCs w:val="20"/>
              </w:rPr>
              <w:t>equiv</w:t>
            </w:r>
            <w:r w:rsidR="00010183">
              <w:rPr>
                <w:rFonts w:ascii="Century Gothic" w:hAnsi="Century Gothic"/>
                <w:color w:val="595959" w:themeColor="text1" w:themeTint="A6"/>
                <w:sz w:val="20"/>
                <w:szCs w:val="20"/>
              </w:rPr>
              <w:t xml:space="preserve">alente </w:t>
            </w:r>
            <w:r w:rsidR="001C1B91" w:rsidRPr="001C1B91">
              <w:rPr>
                <w:rFonts w:ascii="Century Gothic" w:hAnsi="Century Gothic"/>
                <w:color w:val="595959" w:themeColor="text1" w:themeTint="A6"/>
                <w:sz w:val="20"/>
                <w:szCs w:val="20"/>
              </w:rPr>
              <w:t xml:space="preserve">de la empresa activa </w:t>
            </w:r>
            <m:oMath>
              <m:r>
                <w:rPr>
                  <w:rFonts w:ascii="Cambria Math" w:eastAsia="Arial Unicode MS" w:hAnsi="Cambria Math"/>
                  <w:color w:val="000000"/>
                  <w:sz w:val="20"/>
                  <w:szCs w:val="20"/>
                  <w:lang w:eastAsia="es-MX"/>
                </w:rPr>
                <m:t>i</m:t>
              </m:r>
            </m:oMath>
            <w:r w:rsidR="001C1B91" w:rsidRPr="001C1B91">
              <w:rPr>
                <w:rFonts w:ascii="Century Gothic" w:hAnsi="Century Gothic"/>
                <w:color w:val="595959" w:themeColor="text1" w:themeTint="A6"/>
                <w:sz w:val="20"/>
                <w:szCs w:val="20"/>
              </w:rPr>
              <w:t>.</w:t>
            </w:r>
          </w:p>
          <w:p w14:paraId="200FE750" w14:textId="77777777" w:rsidR="001C1B91" w:rsidRPr="001C1B91" w:rsidRDefault="001C1B91" w:rsidP="00C455A9">
            <w:pPr>
              <w:rPr>
                <w:rFonts w:ascii="Century Gothic" w:hAnsi="Century Gothic"/>
                <w:color w:val="595959" w:themeColor="text1" w:themeTint="A6"/>
                <w:sz w:val="20"/>
                <w:szCs w:val="20"/>
              </w:rPr>
            </w:pPr>
            <m:oMath>
              <m:r>
                <m:rPr>
                  <m:sty m:val="p"/>
                </m:rPr>
                <w:rPr>
                  <w:rFonts w:ascii="Cambria Math" w:hAnsi="Cambria Math" w:cs="Arial"/>
                  <w:sz w:val="20"/>
                  <w:szCs w:val="20"/>
                </w:rPr>
                <m:t>t</m:t>
              </m:r>
            </m:oMath>
            <w:r w:rsidRPr="001C1B91">
              <w:rPr>
                <w:rFonts w:ascii="Century Gothic" w:hAnsi="Century Gothic"/>
                <w:color w:val="595959" w:themeColor="text1" w:themeTint="A6"/>
                <w:sz w:val="20"/>
                <w:szCs w:val="20"/>
              </w:rPr>
              <w:t>: año de referencia</w:t>
            </w:r>
          </w:p>
        </w:tc>
      </w:tr>
      <w:tr w:rsidR="001C1B91" w:rsidRPr="00337248" w14:paraId="2418C033" w14:textId="77777777" w:rsidTr="001C1B91">
        <w:trPr>
          <w:trHeight w:val="1925"/>
          <w:jc w:val="center"/>
        </w:trPr>
        <w:tc>
          <w:tcPr>
            <w:tcW w:w="2168" w:type="dxa"/>
            <w:shd w:val="clear" w:color="000000" w:fill="FFFFFF"/>
            <w:vAlign w:val="center"/>
          </w:tcPr>
          <w:p w14:paraId="63DE6529"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Monto de masa salarial de empresas activas.</w:t>
            </w:r>
          </w:p>
          <w:p w14:paraId="65DBBF04" w14:textId="2A50BC85" w:rsidR="001C1B91" w:rsidRPr="001C1B91" w:rsidRDefault="001C1B91" w:rsidP="00C455A9">
            <w:pPr>
              <w:jc w:val="center"/>
              <w:rPr>
                <w:rFonts w:ascii="Century Gothic" w:hAnsi="Century Gothic"/>
                <w:b/>
                <w:i/>
                <w:color w:val="595959" w:themeColor="text1" w:themeTint="A6"/>
                <w:sz w:val="20"/>
                <w:szCs w:val="20"/>
              </w:rPr>
            </w:pPr>
            <m:oMathPara>
              <m:oMath>
                <m:r>
                  <m:rPr>
                    <m:sty m:val="bi"/>
                  </m:rPr>
                  <w:rPr>
                    <w:rFonts w:ascii="Cambria Math" w:hAnsi="Cambria Math"/>
                    <w:color w:val="595959" w:themeColor="text1" w:themeTint="A6"/>
                    <w:sz w:val="20"/>
                    <w:szCs w:val="20"/>
                  </w:rPr>
                  <m:t>MS</m:t>
                </m:r>
              </m:oMath>
            </m:oMathPara>
          </w:p>
        </w:tc>
        <w:tc>
          <w:tcPr>
            <w:tcW w:w="2493" w:type="dxa"/>
            <w:shd w:val="clear" w:color="000000" w:fill="FFFFFF"/>
            <w:noWrap/>
            <w:vAlign w:val="center"/>
          </w:tcPr>
          <w:p w14:paraId="3A3BF696"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Es el total de masa salarial de las empresas activas en el Directorio de Empresas en el año t.</w:t>
            </w:r>
          </w:p>
        </w:tc>
        <w:tc>
          <w:tcPr>
            <w:tcW w:w="2268" w:type="dxa"/>
            <w:shd w:val="clear" w:color="000000" w:fill="FFFFFF"/>
            <w:vAlign w:val="center"/>
          </w:tcPr>
          <w:p w14:paraId="296FB52E"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3D8673A3" w14:textId="77777777" w:rsidR="001C1B91" w:rsidRPr="001C1B91" w:rsidRDefault="001C1B91" w:rsidP="001C1B91">
            <w:pPr>
              <w:pStyle w:val="Prrafodelista"/>
              <w:numPr>
                <w:ilvl w:val="0"/>
                <w:numId w:val="17"/>
              </w:numPr>
              <w:spacing w:after="0" w:line="240" w:lineRule="auto"/>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Remuneraciones</w:t>
            </w:r>
          </w:p>
          <w:p w14:paraId="6A0F0A74" w14:textId="77777777" w:rsidR="001C1B91" w:rsidRPr="001C1B91" w:rsidRDefault="001C1B91" w:rsidP="00C455A9">
            <w:pPr>
              <w:pStyle w:val="Prrafodelista"/>
              <w:spacing w:after="0" w:line="240" w:lineRule="auto"/>
              <w:ind w:left="360"/>
              <w:jc w:val="left"/>
              <w:rPr>
                <w:rFonts w:ascii="Century Gothic" w:hAnsi="Century Gothic"/>
                <w:color w:val="595959" w:themeColor="text1" w:themeTint="A6"/>
                <w:szCs w:val="20"/>
              </w:rPr>
            </w:pPr>
          </w:p>
        </w:tc>
        <w:tc>
          <w:tcPr>
            <w:tcW w:w="2933" w:type="dxa"/>
            <w:shd w:val="clear" w:color="000000" w:fill="FFFFFF"/>
            <w:vAlign w:val="center"/>
          </w:tcPr>
          <w:p w14:paraId="5E1106F7" w14:textId="77777777" w:rsidR="001C1B91" w:rsidRPr="001C1B91" w:rsidRDefault="001C1B91" w:rsidP="00C455A9">
            <w:pPr>
              <w:rPr>
                <w:rFonts w:ascii="Century Gothic" w:hAnsi="Century Gothic"/>
                <w:sz w:val="20"/>
                <w:szCs w:val="20"/>
              </w:rPr>
            </w:pPr>
            <m:oMathPara>
              <m:oMath>
                <m:r>
                  <m:rPr>
                    <m:sty m:val="p"/>
                  </m:rPr>
                  <w:rPr>
                    <w:rFonts w:ascii="Cambria Math" w:hAnsi="Cambria Math"/>
                    <w:sz w:val="20"/>
                    <w:szCs w:val="20"/>
                  </w:rPr>
                  <m:t>MS=</m:t>
                </m:r>
                <m:nary>
                  <m:naryPr>
                    <m:chr m:val="∑"/>
                    <m:limLoc m:val="undOvr"/>
                    <m:subHide m:val="1"/>
                    <m:supHide m:val="1"/>
                    <m:ctrlPr>
                      <w:rPr>
                        <w:rFonts w:ascii="Cambria Math" w:hAnsi="Cambria Math"/>
                        <w:sz w:val="20"/>
                        <w:szCs w:val="20"/>
                      </w:rPr>
                    </m:ctrlPr>
                  </m:naryPr>
                  <m:sub/>
                  <m:sup/>
                  <m:e>
                    <m:sSub>
                      <m:sSubPr>
                        <m:ctrlPr>
                          <w:rPr>
                            <w:rFonts w:ascii="Cambria Math" w:hAnsi="Cambria Math"/>
                            <w:sz w:val="20"/>
                            <w:szCs w:val="20"/>
                          </w:rPr>
                        </m:ctrlPr>
                      </m:sSubPr>
                      <m:e>
                        <m:r>
                          <m:rPr>
                            <m:sty m:val="p"/>
                          </m:rPr>
                          <w:rPr>
                            <w:rFonts w:ascii="Cambria Math" w:hAnsi="Cambria Math"/>
                            <w:sz w:val="20"/>
                            <w:szCs w:val="20"/>
                          </w:rPr>
                          <m:t>MS</m:t>
                        </m:r>
                      </m:e>
                      <m:sub>
                        <m:r>
                          <m:rPr>
                            <m:sty m:val="p"/>
                          </m:rPr>
                          <w:rPr>
                            <w:rFonts w:ascii="Cambria Math" w:hAnsi="Cambria Math"/>
                            <w:sz w:val="20"/>
                            <w:szCs w:val="20"/>
                          </w:rPr>
                          <m:t>it</m:t>
                        </m:r>
                      </m:sub>
                    </m:sSub>
                    <m:r>
                      <m:rPr>
                        <m:sty m:val="p"/>
                      </m:rPr>
                      <w:rPr>
                        <w:rFonts w:ascii="Cambria Math" w:hAnsi="Cambria Math"/>
                        <w:sz w:val="20"/>
                        <w:szCs w:val="20"/>
                      </w:rPr>
                      <m:t xml:space="preserve"> </m:t>
                    </m:r>
                  </m:e>
                </m:nary>
              </m:oMath>
            </m:oMathPara>
          </w:p>
          <w:p w14:paraId="4E45111D" w14:textId="77777777" w:rsidR="001C1B91" w:rsidRPr="001C1B91" w:rsidRDefault="001C1B91" w:rsidP="00C455A9">
            <w:pPr>
              <w:spacing w:line="360" w:lineRule="auto"/>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En donde:</w:t>
            </w:r>
            <m:oMath>
              <m:r>
                <m:rPr>
                  <m:sty m:val="p"/>
                </m:rPr>
                <w:rPr>
                  <w:rFonts w:ascii="Cambria Math" w:hAnsi="Cambria Math"/>
                  <w:color w:val="595959" w:themeColor="text1" w:themeTint="A6"/>
                  <w:sz w:val="20"/>
                  <w:szCs w:val="20"/>
                </w:rPr>
                <m:t xml:space="preserve"> </m:t>
              </m:r>
            </m:oMath>
          </w:p>
          <w:p w14:paraId="4AAE6824" w14:textId="77777777" w:rsidR="001C1B91" w:rsidRPr="001C1B91" w:rsidRDefault="001C1B91" w:rsidP="00C455A9">
            <w:pPr>
              <w:rPr>
                <w:rFonts w:ascii="Century Gothic" w:hAnsi="Century Gothic"/>
                <w:color w:val="595959" w:themeColor="text1" w:themeTint="A6"/>
                <w:sz w:val="20"/>
                <w:szCs w:val="20"/>
              </w:rPr>
            </w:pPr>
            <m:oMath>
              <m:r>
                <m:rPr>
                  <m:sty m:val="p"/>
                </m:rPr>
                <w:rPr>
                  <w:rFonts w:ascii="Cambria Math" w:hAnsi="Cambria Math"/>
                  <w:sz w:val="20"/>
                  <w:szCs w:val="20"/>
                </w:rPr>
                <m:t>MS</m:t>
              </m:r>
            </m:oMath>
            <w:r w:rsidRPr="001C1B91">
              <w:rPr>
                <w:rFonts w:ascii="Century Gothic" w:hAnsi="Century Gothic"/>
                <w:color w:val="595959" w:themeColor="text1" w:themeTint="A6"/>
                <w:sz w:val="20"/>
                <w:szCs w:val="20"/>
              </w:rPr>
              <w:t>: Masa Salarial de las empresas activas.</w:t>
            </w:r>
          </w:p>
          <w:p w14:paraId="1FDE086B" w14:textId="77777777" w:rsidR="001C1B91" w:rsidRPr="001C1B91" w:rsidRDefault="007D4D27" w:rsidP="00C455A9">
            <w:pPr>
              <w:rPr>
                <w:rFonts w:ascii="Century Gothic" w:hAnsi="Century Gothic"/>
                <w:color w:val="595959" w:themeColor="text1" w:themeTint="A6"/>
                <w:sz w:val="20"/>
                <w:szCs w:val="20"/>
              </w:rPr>
            </w:pPr>
            <m:oMath>
              <m:sSub>
                <m:sSubPr>
                  <m:ctrlPr>
                    <w:rPr>
                      <w:rFonts w:ascii="Cambria Math" w:hAnsi="Cambria Math"/>
                      <w:sz w:val="20"/>
                      <w:szCs w:val="20"/>
                    </w:rPr>
                  </m:ctrlPr>
                </m:sSubPr>
                <m:e>
                  <m:r>
                    <m:rPr>
                      <m:sty m:val="p"/>
                    </m:rPr>
                    <w:rPr>
                      <w:rFonts w:ascii="Cambria Math" w:hAnsi="Cambria Math"/>
                      <w:sz w:val="20"/>
                      <w:szCs w:val="20"/>
                    </w:rPr>
                    <m:t>MS</m:t>
                  </m:r>
                </m:e>
                <m:sub>
                  <m:r>
                    <m:rPr>
                      <m:sty m:val="p"/>
                    </m:rPr>
                    <w:rPr>
                      <w:rFonts w:ascii="Cambria Math" w:hAnsi="Cambria Math"/>
                      <w:sz w:val="20"/>
                      <w:szCs w:val="20"/>
                    </w:rPr>
                    <m:t>i</m:t>
                  </m:r>
                </m:sub>
              </m:sSub>
            </m:oMath>
            <w:r w:rsidR="001C1B91" w:rsidRPr="001C1B91">
              <w:rPr>
                <w:rFonts w:ascii="Century Gothic" w:hAnsi="Century Gothic"/>
                <w:color w:val="595959" w:themeColor="text1" w:themeTint="A6"/>
                <w:sz w:val="20"/>
                <w:szCs w:val="20"/>
              </w:rPr>
              <w:t xml:space="preserve">: Valor de masa salarial de la empresa activa </w:t>
            </w:r>
            <m:oMath>
              <m:r>
                <w:rPr>
                  <w:rFonts w:ascii="Cambria Math" w:hAnsi="Cambria Math"/>
                  <w:sz w:val="20"/>
                  <w:szCs w:val="20"/>
                </w:rPr>
                <m:t>i</m:t>
              </m:r>
            </m:oMath>
            <w:r w:rsidR="001C1B91" w:rsidRPr="001C1B91">
              <w:rPr>
                <w:rFonts w:ascii="Century Gothic" w:hAnsi="Century Gothic"/>
                <w:color w:val="595959" w:themeColor="text1" w:themeTint="A6"/>
                <w:sz w:val="20"/>
                <w:szCs w:val="20"/>
              </w:rPr>
              <w:t>.</w:t>
            </w:r>
          </w:p>
          <w:p w14:paraId="23F5B475" w14:textId="77777777" w:rsidR="001C1B91" w:rsidRPr="001C1B91" w:rsidRDefault="001C1B91" w:rsidP="00C455A9">
            <w:pPr>
              <w:rPr>
                <w:rFonts w:ascii="Century Gothic" w:hAnsi="Century Gothic"/>
                <w:color w:val="595959" w:themeColor="text1" w:themeTint="A6"/>
                <w:sz w:val="20"/>
                <w:szCs w:val="20"/>
                <w:lang w:val="es-ES"/>
              </w:rPr>
            </w:pPr>
            <m:oMath>
              <m:r>
                <m:rPr>
                  <m:sty m:val="p"/>
                </m:rPr>
                <w:rPr>
                  <w:rFonts w:ascii="Cambria Math" w:hAnsi="Cambria Math" w:cs="Arial"/>
                  <w:sz w:val="20"/>
                  <w:szCs w:val="20"/>
                </w:rPr>
                <m:t>t</m:t>
              </m:r>
            </m:oMath>
            <w:r w:rsidRPr="001C1B91">
              <w:rPr>
                <w:rFonts w:ascii="Century Gothic" w:hAnsi="Century Gothic"/>
                <w:color w:val="595959" w:themeColor="text1" w:themeTint="A6"/>
                <w:sz w:val="20"/>
                <w:szCs w:val="20"/>
              </w:rPr>
              <w:t>: año de referencia</w:t>
            </w:r>
          </w:p>
        </w:tc>
      </w:tr>
      <w:tr w:rsidR="001C1B91" w:rsidRPr="00337248" w14:paraId="23424695" w14:textId="77777777" w:rsidTr="001C1B91">
        <w:trPr>
          <w:trHeight w:val="1925"/>
          <w:jc w:val="center"/>
        </w:trPr>
        <w:tc>
          <w:tcPr>
            <w:tcW w:w="2168" w:type="dxa"/>
            <w:shd w:val="clear" w:color="000000" w:fill="FFFFFF"/>
            <w:vAlign w:val="center"/>
          </w:tcPr>
          <w:p w14:paraId="64923A3E"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Porcentaje de propietarios de empresas por sexo</w:t>
            </w:r>
          </w:p>
          <w:p w14:paraId="58D154EF" w14:textId="77777777" w:rsidR="001C1B91" w:rsidRPr="001C1B91" w:rsidRDefault="001C1B91" w:rsidP="00C455A9">
            <w:pPr>
              <w:jc w:val="center"/>
              <w:rPr>
                <w:rFonts w:ascii="Century Gothic" w:hAnsi="Century Gothic"/>
                <w:color w:val="595959" w:themeColor="text1" w:themeTint="A6"/>
                <w:sz w:val="20"/>
                <w:szCs w:val="20"/>
              </w:rPr>
            </w:pPr>
            <m:oMathPara>
              <m:oMath>
                <m:r>
                  <m:rPr>
                    <m:sty m:val="bi"/>
                  </m:rPr>
                  <w:rPr>
                    <w:rFonts w:ascii="Cambria Math" w:eastAsia="Times New Roman" w:hAnsi="Cambria Math" w:cs="Arial"/>
                    <w:color w:val="595959" w:themeColor="text1" w:themeTint="A6"/>
                    <w:sz w:val="20"/>
                    <w:szCs w:val="20"/>
                  </w:rPr>
                  <m:t>PPES</m:t>
                </m:r>
              </m:oMath>
            </m:oMathPara>
          </w:p>
        </w:tc>
        <w:tc>
          <w:tcPr>
            <w:tcW w:w="2493" w:type="dxa"/>
            <w:shd w:val="clear" w:color="000000" w:fill="FFFFFF"/>
            <w:noWrap/>
            <w:vAlign w:val="center"/>
          </w:tcPr>
          <w:p w14:paraId="71B42AB0"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Mide la proporción de propietarios por sexo de las empresas que están definidas como unidad legal “personas naturales” en el año de referencia.</w:t>
            </w:r>
          </w:p>
        </w:tc>
        <w:tc>
          <w:tcPr>
            <w:tcW w:w="2268" w:type="dxa"/>
            <w:shd w:val="clear" w:color="000000" w:fill="FFFFFF"/>
            <w:vAlign w:val="center"/>
          </w:tcPr>
          <w:p w14:paraId="27D6A849"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Situación</w:t>
            </w:r>
          </w:p>
          <w:p w14:paraId="7102C638" w14:textId="77777777" w:rsidR="001C1B91" w:rsidRPr="001C1B91" w:rsidRDefault="001C1B91" w:rsidP="001C1B91">
            <w:pPr>
              <w:pStyle w:val="Prrafodelista"/>
              <w:numPr>
                <w:ilvl w:val="0"/>
                <w:numId w:val="17"/>
              </w:numPr>
              <w:spacing w:after="0" w:line="240" w:lineRule="auto"/>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Unidad legal</w:t>
            </w:r>
          </w:p>
          <w:p w14:paraId="127B3A0C"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Propietarios</w:t>
            </w:r>
          </w:p>
          <w:p w14:paraId="1C6EA0D3"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Sexo</w:t>
            </w:r>
          </w:p>
        </w:tc>
        <w:tc>
          <w:tcPr>
            <w:tcW w:w="2933" w:type="dxa"/>
            <w:shd w:val="clear" w:color="000000" w:fill="FFFFFF"/>
            <w:vAlign w:val="center"/>
          </w:tcPr>
          <w:p w14:paraId="5B1C768C" w14:textId="77777777" w:rsidR="001C1B91" w:rsidRPr="001C1B91" w:rsidRDefault="001C1B91" w:rsidP="00C455A9">
            <w:pPr>
              <w:rPr>
                <w:rFonts w:ascii="Century Gothic" w:eastAsia="Calibri" w:hAnsi="Century Gothic" w:cs="Times New Roman"/>
                <w:b/>
                <w:color w:val="595959" w:themeColor="text1" w:themeTint="A6"/>
                <w:sz w:val="20"/>
                <w:szCs w:val="20"/>
              </w:rPr>
            </w:pPr>
            <m:oMathPara>
              <m:oMath>
                <m:r>
                  <m:rPr>
                    <m:sty m:val="bi"/>
                  </m:rPr>
                  <w:rPr>
                    <w:rFonts w:ascii="Cambria Math" w:eastAsia="Times New Roman" w:hAnsi="Cambria Math" w:cs="Arial"/>
                    <w:color w:val="595959" w:themeColor="text1" w:themeTint="A6"/>
                    <w:sz w:val="20"/>
                    <w:szCs w:val="20"/>
                  </w:rPr>
                  <m:t>PPES=</m:t>
                </m:r>
                <m:f>
                  <m:fPr>
                    <m:ctrlPr>
                      <w:rPr>
                        <w:rFonts w:ascii="Cambria Math" w:eastAsia="Times New Roman" w:hAnsi="Cambria Math" w:cs="Arial"/>
                        <w:b/>
                        <w:bCs/>
                        <w:i/>
                        <w:color w:val="595959" w:themeColor="text1" w:themeTint="A6"/>
                        <w:sz w:val="20"/>
                        <w:szCs w:val="20"/>
                      </w:rPr>
                    </m:ctrlPr>
                  </m:fPr>
                  <m:num>
                    <m:sSub>
                      <m:sSubPr>
                        <m:ctrlPr>
                          <w:rPr>
                            <w:rFonts w:ascii="Cambria Math" w:eastAsia="Times New Roman" w:hAnsi="Cambria Math" w:cs="Arial"/>
                            <w:b/>
                            <w:bCs/>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PES</m:t>
                        </m:r>
                      </m:e>
                      <m:sub>
                        <m:r>
                          <m:rPr>
                            <m:sty m:val="bi"/>
                          </m:rPr>
                          <w:rPr>
                            <w:rFonts w:ascii="Cambria Math" w:eastAsia="Times New Roman" w:hAnsi="Cambria Math" w:cs="Arial"/>
                            <w:color w:val="595959" w:themeColor="text1" w:themeTint="A6"/>
                            <w:sz w:val="20"/>
                            <w:szCs w:val="20"/>
                          </w:rPr>
                          <m:t>t</m:t>
                        </m:r>
                      </m:sub>
                    </m:sSub>
                  </m:num>
                  <m:den>
                    <m:sSub>
                      <m:sSubPr>
                        <m:ctrlPr>
                          <w:rPr>
                            <w:rFonts w:ascii="Cambria Math" w:eastAsia="Times New Roman" w:hAnsi="Cambria Math" w:cs="Arial"/>
                            <w:b/>
                            <w:bCs/>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TPE</m:t>
                        </m:r>
                      </m:e>
                      <m:sub>
                        <m:r>
                          <m:rPr>
                            <m:sty m:val="bi"/>
                          </m:rPr>
                          <w:rPr>
                            <w:rFonts w:ascii="Cambria Math" w:eastAsia="Times New Roman" w:hAnsi="Cambria Math" w:cs="Arial"/>
                            <w:color w:val="595959" w:themeColor="text1" w:themeTint="A6"/>
                            <w:sz w:val="20"/>
                            <w:szCs w:val="20"/>
                          </w:rPr>
                          <m:t>t</m:t>
                        </m:r>
                      </m:sub>
                    </m:sSub>
                  </m:den>
                </m:f>
                <m:r>
                  <m:rPr>
                    <m:sty m:val="bi"/>
                  </m:rPr>
                  <w:rPr>
                    <w:rFonts w:ascii="Cambria Math" w:eastAsia="Times New Roman" w:hAnsi="Cambria Math" w:cs="Arial"/>
                    <w:color w:val="595959" w:themeColor="text1" w:themeTint="A6"/>
                    <w:sz w:val="20"/>
                    <w:szCs w:val="20"/>
                  </w:rPr>
                  <m:t>*100</m:t>
                </m:r>
              </m:oMath>
            </m:oMathPara>
          </w:p>
          <w:p w14:paraId="3BA28F02" w14:textId="77777777" w:rsidR="001C1B91" w:rsidRDefault="001C1B91" w:rsidP="00C455A9">
            <w:pPr>
              <w:rPr>
                <w:rFonts w:ascii="Century Gothic" w:hAnsi="Century Gothic"/>
                <w:color w:val="595959" w:themeColor="text1" w:themeTint="A6"/>
                <w:sz w:val="20"/>
                <w:szCs w:val="20"/>
              </w:rPr>
            </w:pPr>
            <w:r w:rsidRPr="001C1B91">
              <w:rPr>
                <w:rFonts w:ascii="Century Gothic" w:eastAsia="Calibri" w:hAnsi="Century Gothic" w:cs="Times New Roman"/>
                <w:color w:val="595959" w:themeColor="text1" w:themeTint="A6"/>
                <w:sz w:val="20"/>
                <w:szCs w:val="20"/>
              </w:rPr>
              <w:t>En do</w:t>
            </w:r>
            <w:r w:rsidRPr="001C1B91">
              <w:rPr>
                <w:rFonts w:ascii="Century Gothic" w:hAnsi="Century Gothic"/>
                <w:color w:val="595959" w:themeColor="text1" w:themeTint="A6"/>
                <w:sz w:val="20"/>
                <w:szCs w:val="20"/>
              </w:rPr>
              <w:t>nde:</w:t>
            </w:r>
          </w:p>
          <w:p w14:paraId="6DFCC607" w14:textId="66551F09"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 xml:space="preserve"> </w:t>
            </w:r>
          </w:p>
          <w:p w14:paraId="1545ED56" w14:textId="77777777" w:rsidR="001C1B91" w:rsidRPr="001C1B91" w:rsidRDefault="001C1B91" w:rsidP="00C455A9">
            <w:pPr>
              <w:rPr>
                <w:rFonts w:ascii="Century Gothic" w:eastAsia="Times New Roman" w:hAnsi="Century Gothic" w:cs="Arial"/>
                <w:bCs/>
                <w:color w:val="595959" w:themeColor="text1" w:themeTint="A6"/>
                <w:sz w:val="20"/>
                <w:szCs w:val="20"/>
              </w:rPr>
            </w:pPr>
            <m:oMath>
              <m:r>
                <m:rPr>
                  <m:sty m:val="bi"/>
                </m:rPr>
                <w:rPr>
                  <w:rFonts w:ascii="Cambria Math" w:eastAsia="Times New Roman" w:hAnsi="Cambria Math" w:cs="Arial"/>
                  <w:color w:val="595959" w:themeColor="text1" w:themeTint="A6"/>
                  <w:sz w:val="20"/>
                  <w:szCs w:val="20"/>
                </w:rPr>
                <m:t>PPES</m:t>
              </m:r>
            </m:oMath>
            <w:r w:rsidRPr="001C1B91">
              <w:rPr>
                <w:rFonts w:ascii="Century Gothic" w:eastAsia="Calibri" w:hAnsi="Century Gothic" w:cs="Times New Roman"/>
                <w:b/>
                <w:color w:val="595959" w:themeColor="text1" w:themeTint="A6"/>
                <w:sz w:val="20"/>
                <w:szCs w:val="20"/>
              </w:rPr>
              <w:t xml:space="preserve">: </w:t>
            </w:r>
            <w:r w:rsidRPr="001C1B91">
              <w:rPr>
                <w:rFonts w:ascii="Century Gothic" w:eastAsia="Times New Roman" w:hAnsi="Century Gothic" w:cs="Arial"/>
                <w:bCs/>
                <w:color w:val="595959" w:themeColor="text1" w:themeTint="A6"/>
                <w:sz w:val="20"/>
                <w:szCs w:val="20"/>
              </w:rPr>
              <w:t>Porcentaje de propietarios de empresas por sexo en el período (t).</w:t>
            </w:r>
          </w:p>
          <w:p w14:paraId="36AEBA35" w14:textId="77777777" w:rsidR="001C1B91" w:rsidRPr="001C1B91" w:rsidRDefault="007D4D27" w:rsidP="00C455A9">
            <w:pPr>
              <w:rPr>
                <w:rFonts w:ascii="Century Gothic" w:eastAsia="Times New Roman" w:hAnsi="Century Gothic" w:cs="Arial"/>
                <w:bCs/>
                <w:color w:val="595959" w:themeColor="text1" w:themeTint="A6"/>
                <w:sz w:val="20"/>
                <w:szCs w:val="20"/>
              </w:rPr>
            </w:pPr>
            <m:oMath>
              <m:sSub>
                <m:sSubPr>
                  <m:ctrlPr>
                    <w:rPr>
                      <w:rFonts w:ascii="Cambria Math" w:eastAsia="Times New Roman" w:hAnsi="Cambria Math" w:cs="Arial"/>
                      <w:b/>
                      <w:bCs/>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PES</m:t>
                  </m:r>
                </m:e>
                <m:sub>
                  <m:r>
                    <m:rPr>
                      <m:sty m:val="bi"/>
                    </m:rPr>
                    <w:rPr>
                      <w:rFonts w:ascii="Cambria Math" w:eastAsia="Times New Roman" w:hAnsi="Cambria Math" w:cs="Arial"/>
                      <w:color w:val="595959" w:themeColor="text1" w:themeTint="A6"/>
                      <w:sz w:val="20"/>
                      <w:szCs w:val="20"/>
                    </w:rPr>
                    <m:t>t</m:t>
                  </m:r>
                </m:sub>
              </m:sSub>
            </m:oMath>
            <w:r w:rsidR="001C1B91" w:rsidRPr="001C1B91">
              <w:rPr>
                <w:rFonts w:ascii="Century Gothic" w:eastAsia="Times New Roman" w:hAnsi="Century Gothic" w:cs="Arial"/>
                <w:b/>
                <w:bCs/>
                <w:color w:val="595959" w:themeColor="text1" w:themeTint="A6"/>
                <w:sz w:val="20"/>
                <w:szCs w:val="20"/>
              </w:rPr>
              <w:t xml:space="preserve">: </w:t>
            </w:r>
            <w:r w:rsidR="001C1B91" w:rsidRPr="001C1B91">
              <w:rPr>
                <w:rFonts w:ascii="Century Gothic" w:eastAsia="Times New Roman" w:hAnsi="Century Gothic" w:cs="Arial"/>
                <w:bCs/>
                <w:color w:val="595959" w:themeColor="text1" w:themeTint="A6"/>
                <w:sz w:val="20"/>
                <w:szCs w:val="20"/>
              </w:rPr>
              <w:t>Propietarios de empresas por sexo en el año (t)</w:t>
            </w:r>
          </w:p>
          <w:p w14:paraId="682A6568" w14:textId="77777777" w:rsidR="001C1B91" w:rsidRPr="001C1B91" w:rsidRDefault="007D4D27" w:rsidP="00C455A9">
            <w:pPr>
              <w:rPr>
                <w:rFonts w:ascii="Century Gothic" w:eastAsia="Times New Roman" w:hAnsi="Century Gothic" w:cs="Arial"/>
                <w:bCs/>
                <w:color w:val="595959" w:themeColor="text1" w:themeTint="A6"/>
                <w:sz w:val="20"/>
                <w:szCs w:val="20"/>
              </w:rPr>
            </w:pPr>
            <m:oMath>
              <m:sSub>
                <m:sSubPr>
                  <m:ctrlPr>
                    <w:rPr>
                      <w:rFonts w:ascii="Cambria Math" w:eastAsia="Times New Roman" w:hAnsi="Cambria Math" w:cs="Arial"/>
                      <w:b/>
                      <w:bCs/>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TPE</m:t>
                  </m:r>
                </m:e>
                <m:sub>
                  <m:r>
                    <m:rPr>
                      <m:sty m:val="bi"/>
                    </m:rPr>
                    <w:rPr>
                      <w:rFonts w:ascii="Cambria Math" w:eastAsia="Times New Roman" w:hAnsi="Cambria Math" w:cs="Arial"/>
                      <w:color w:val="595959" w:themeColor="text1" w:themeTint="A6"/>
                      <w:sz w:val="20"/>
                      <w:szCs w:val="20"/>
                    </w:rPr>
                    <m:t>t</m:t>
                  </m:r>
                </m:sub>
              </m:sSub>
            </m:oMath>
            <w:r w:rsidR="001C1B91" w:rsidRPr="001C1B91">
              <w:rPr>
                <w:rFonts w:ascii="Century Gothic" w:eastAsia="Times New Roman" w:hAnsi="Century Gothic" w:cs="Arial"/>
                <w:b/>
                <w:bCs/>
                <w:color w:val="595959" w:themeColor="text1" w:themeTint="A6"/>
                <w:sz w:val="20"/>
                <w:szCs w:val="20"/>
              </w:rPr>
              <w:t xml:space="preserve">: </w:t>
            </w:r>
            <w:r w:rsidR="001C1B91" w:rsidRPr="001C1B91">
              <w:rPr>
                <w:rFonts w:ascii="Century Gothic" w:eastAsia="Times New Roman" w:hAnsi="Century Gothic" w:cs="Arial"/>
                <w:bCs/>
                <w:color w:val="595959" w:themeColor="text1" w:themeTint="A6"/>
                <w:sz w:val="20"/>
                <w:szCs w:val="20"/>
              </w:rPr>
              <w:t>Total de propietarios de empresas en el año (t).</w:t>
            </w:r>
          </w:p>
          <w:p w14:paraId="3D814509" w14:textId="77777777" w:rsidR="001C1B91" w:rsidRPr="001C1B91" w:rsidRDefault="001C1B91" w:rsidP="00C455A9">
            <w:pPr>
              <w:rPr>
                <w:rFonts w:ascii="Century Gothic" w:eastAsia="Times New Roman" w:hAnsi="Century Gothic" w:cs="Arial"/>
                <w:bCs/>
                <w:color w:val="595959" w:themeColor="text1" w:themeTint="A6"/>
                <w:sz w:val="20"/>
                <w:szCs w:val="20"/>
              </w:rPr>
            </w:pPr>
            <w:r w:rsidRPr="001C1B91">
              <w:rPr>
                <w:rFonts w:ascii="Century Gothic" w:eastAsia="Times New Roman" w:hAnsi="Century Gothic" w:cs="Arial"/>
                <w:b/>
                <w:bCs/>
                <w:color w:val="595959" w:themeColor="text1" w:themeTint="A6"/>
                <w:sz w:val="20"/>
                <w:szCs w:val="20"/>
              </w:rPr>
              <w:t xml:space="preserve">t: </w:t>
            </w:r>
            <w:r w:rsidRPr="001C1B91">
              <w:rPr>
                <w:rFonts w:ascii="Century Gothic" w:eastAsia="Times New Roman" w:hAnsi="Century Gothic" w:cs="Arial"/>
                <w:bCs/>
                <w:color w:val="595959" w:themeColor="text1" w:themeTint="A6"/>
                <w:sz w:val="20"/>
                <w:szCs w:val="20"/>
              </w:rPr>
              <w:t>Año de referencia</w:t>
            </w:r>
          </w:p>
        </w:tc>
      </w:tr>
      <w:tr w:rsidR="001C1B91" w:rsidRPr="00D8027C" w14:paraId="33F1B14D" w14:textId="77777777" w:rsidTr="001C1B91">
        <w:trPr>
          <w:trHeight w:val="1925"/>
          <w:jc w:val="center"/>
        </w:trPr>
        <w:tc>
          <w:tcPr>
            <w:tcW w:w="2168" w:type="dxa"/>
            <w:shd w:val="clear" w:color="000000" w:fill="FFFFFF"/>
            <w:vAlign w:val="center"/>
          </w:tcPr>
          <w:p w14:paraId="409A9394" w14:textId="627CCD15"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 xml:space="preserve">Porcentaje de plazas de empleo registrado </w:t>
            </w:r>
            <w:r w:rsidR="00472563">
              <w:rPr>
                <w:rFonts w:ascii="Century Gothic" w:hAnsi="Century Gothic"/>
                <w:color w:val="595959" w:themeColor="text1" w:themeTint="A6"/>
                <w:sz w:val="20"/>
                <w:szCs w:val="20"/>
              </w:rPr>
              <w:t>equivalente</w:t>
            </w:r>
            <w:r w:rsidRPr="001C1B91">
              <w:rPr>
                <w:rFonts w:ascii="Century Gothic" w:hAnsi="Century Gothic"/>
                <w:color w:val="595959" w:themeColor="text1" w:themeTint="A6"/>
                <w:sz w:val="20"/>
                <w:szCs w:val="20"/>
              </w:rPr>
              <w:t xml:space="preserve"> en las empresas, según actividad económica a un dígito de la CIIU Rev. 4.0 (sección) por sexo a nivel nacional.</w:t>
            </w:r>
          </w:p>
          <w:p w14:paraId="051C5941" w14:textId="77777777" w:rsidR="001C1B91" w:rsidRPr="001C1B91" w:rsidRDefault="001C1B91" w:rsidP="00C455A9">
            <w:pPr>
              <w:jc w:val="center"/>
              <w:rPr>
                <w:rFonts w:ascii="Cambria Math" w:hAnsi="Cambria Math"/>
                <w:color w:val="595959" w:themeColor="text1" w:themeTint="A6"/>
                <w:sz w:val="20"/>
                <w:szCs w:val="20"/>
              </w:rPr>
            </w:pPr>
            <w:r w:rsidRPr="001C1B91">
              <w:rPr>
                <w:rFonts w:ascii="Cambria Math" w:eastAsia="Times New Roman" w:hAnsi="Cambria Math" w:cs="Arial"/>
                <w:b/>
                <w:i/>
                <w:color w:val="595959" w:themeColor="text1" w:themeTint="A6"/>
                <w:sz w:val="20"/>
                <w:szCs w:val="20"/>
                <w:lang w:val="it-IT"/>
              </w:rPr>
              <w:t>PPERAE</w:t>
            </w:r>
          </w:p>
        </w:tc>
        <w:tc>
          <w:tcPr>
            <w:tcW w:w="2493" w:type="dxa"/>
            <w:shd w:val="clear" w:color="000000" w:fill="FFFFFF"/>
            <w:noWrap/>
            <w:vAlign w:val="center"/>
          </w:tcPr>
          <w:p w14:paraId="2B98C6D7" w14:textId="7C6CDC92" w:rsidR="001C1B91" w:rsidRPr="001C1B91" w:rsidRDefault="001C1B91" w:rsidP="00C455A9">
            <w:pP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 xml:space="preserve">Mide el porcentaje de “plazas de empleo registrado </w:t>
            </w:r>
            <w:r w:rsidR="00472563">
              <w:rPr>
                <w:rFonts w:ascii="Century Gothic" w:hAnsi="Century Gothic"/>
                <w:color w:val="595959" w:themeColor="text1" w:themeTint="A6"/>
                <w:sz w:val="20"/>
                <w:szCs w:val="20"/>
              </w:rPr>
              <w:t>equivalente</w:t>
            </w:r>
            <w:r w:rsidRPr="001C1B91">
              <w:rPr>
                <w:rFonts w:ascii="Century Gothic" w:hAnsi="Century Gothic"/>
                <w:color w:val="595959" w:themeColor="text1" w:themeTint="A6"/>
                <w:sz w:val="20"/>
                <w:szCs w:val="20"/>
              </w:rPr>
              <w:t xml:space="preserve">” y “empleo registrado </w:t>
            </w:r>
            <w:r w:rsidR="00472563">
              <w:rPr>
                <w:rFonts w:ascii="Century Gothic" w:hAnsi="Century Gothic"/>
                <w:color w:val="595959" w:themeColor="text1" w:themeTint="A6"/>
                <w:sz w:val="20"/>
                <w:szCs w:val="20"/>
              </w:rPr>
              <w:t>equivalente</w:t>
            </w:r>
            <w:r w:rsidRPr="001C1B91">
              <w:rPr>
                <w:rFonts w:ascii="Century Gothic" w:hAnsi="Century Gothic"/>
                <w:color w:val="595959" w:themeColor="text1" w:themeTint="A6"/>
                <w:sz w:val="20"/>
                <w:szCs w:val="20"/>
              </w:rPr>
              <w:t>” que las empresas disponen, según la actividad económica que realizan, desagregado por sexo, a nivel nacional.</w:t>
            </w:r>
          </w:p>
          <w:p w14:paraId="1F10F0BD" w14:textId="77777777" w:rsidR="001C1B91" w:rsidRPr="001C1B91" w:rsidRDefault="001C1B91" w:rsidP="00C455A9">
            <w:pPr>
              <w:rPr>
                <w:rFonts w:ascii="Century Gothic" w:hAnsi="Century Gothic"/>
                <w:color w:val="595959" w:themeColor="text1" w:themeTint="A6"/>
                <w:sz w:val="20"/>
                <w:szCs w:val="20"/>
              </w:rPr>
            </w:pPr>
          </w:p>
        </w:tc>
        <w:tc>
          <w:tcPr>
            <w:tcW w:w="2268" w:type="dxa"/>
            <w:shd w:val="clear" w:color="000000" w:fill="FFFFFF"/>
            <w:vAlign w:val="center"/>
          </w:tcPr>
          <w:p w14:paraId="67F032D6"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total/ Empleo registrado total</w:t>
            </w:r>
          </w:p>
          <w:p w14:paraId="04DB3415"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hombres / Empleo registrado hombres</w:t>
            </w:r>
          </w:p>
          <w:p w14:paraId="6869B22A"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mujeres / Empleo registrado mujeres</w:t>
            </w:r>
          </w:p>
          <w:p w14:paraId="39E4D95D"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CIIU rev. (1 dígito) – sección</w:t>
            </w:r>
          </w:p>
          <w:p w14:paraId="1B73920A" w14:textId="77777777" w:rsidR="001C1B91" w:rsidRPr="001C1B91" w:rsidRDefault="001C1B91" w:rsidP="00C455A9">
            <w:pPr>
              <w:pStyle w:val="Prrafodelista"/>
              <w:ind w:left="360"/>
              <w:jc w:val="left"/>
              <w:rPr>
                <w:rFonts w:ascii="Century Gothic" w:hAnsi="Century Gothic"/>
                <w:color w:val="595959" w:themeColor="text1" w:themeTint="A6"/>
                <w:szCs w:val="20"/>
              </w:rPr>
            </w:pPr>
          </w:p>
        </w:tc>
        <w:tc>
          <w:tcPr>
            <w:tcW w:w="2933" w:type="dxa"/>
            <w:shd w:val="clear" w:color="000000" w:fill="FFFFFF"/>
            <w:vAlign w:val="center"/>
          </w:tcPr>
          <w:p w14:paraId="3BB64786" w14:textId="77777777" w:rsidR="001C1B91" w:rsidRPr="001C1B91" w:rsidRDefault="001C1B91" w:rsidP="00C455A9">
            <w:pPr>
              <w:jc w:val="center"/>
              <w:rPr>
                <w:rFonts w:asciiTheme="majorHAnsi" w:eastAsia="Times New Roman" w:hAnsiTheme="majorHAnsi" w:cs="Arial"/>
                <w:color w:val="595959" w:themeColor="text1" w:themeTint="A6"/>
                <w:sz w:val="20"/>
                <w:szCs w:val="20"/>
                <w:lang w:val="it-IT"/>
              </w:rPr>
            </w:pPr>
            <w:r w:rsidRPr="001C1B91">
              <w:rPr>
                <w:rFonts w:asciiTheme="majorHAnsi" w:eastAsia="Times New Roman" w:hAnsiTheme="majorHAnsi" w:cs="Arial"/>
                <w:b/>
                <w:i/>
                <w:color w:val="595959" w:themeColor="text1" w:themeTint="A6"/>
                <w:sz w:val="20"/>
                <w:szCs w:val="20"/>
                <w:lang w:val="it-IT"/>
              </w:rPr>
              <w:t>PPERAE(t)</w:t>
            </w:r>
            <w:r w:rsidRPr="001C1B91">
              <w:rPr>
                <w:rFonts w:asciiTheme="majorHAnsi" w:eastAsia="Times New Roman" w:hAnsiTheme="majorHAnsi" w:cs="Arial"/>
                <w:i/>
                <w:color w:val="595959" w:themeColor="text1" w:themeTint="A6"/>
                <w:sz w:val="20"/>
                <w:szCs w:val="20"/>
                <w:lang w:val="it-IT"/>
              </w:rPr>
              <w:t xml:space="preserve"> =  </w:t>
            </w:r>
            <m:oMath>
              <m:f>
                <m:fPr>
                  <m:ctrlPr>
                    <w:rPr>
                      <w:rFonts w:ascii="Cambria Math" w:eastAsia="Times New Roman" w:hAnsi="Cambria Math" w:cs="Arial"/>
                      <w:i/>
                      <w:color w:val="595959" w:themeColor="text1" w:themeTint="A6"/>
                      <w:sz w:val="20"/>
                      <w:szCs w:val="20"/>
                    </w:rPr>
                  </m:ctrlPr>
                </m:fPr>
                <m:num>
                  <m:nary>
                    <m:naryPr>
                      <m:chr m:val="∑"/>
                      <m:limLoc m:val="undOvr"/>
                      <m:ctrlPr>
                        <w:rPr>
                          <w:rFonts w:ascii="Cambria Math" w:eastAsia="Times New Roman" w:hAnsi="Cambria Math" w:cs="Arial"/>
                          <w:i/>
                          <w:color w:val="595959" w:themeColor="text1" w:themeTint="A6"/>
                          <w:sz w:val="20"/>
                          <w:szCs w:val="20"/>
                        </w:rPr>
                      </m:ctrlPr>
                    </m:naryPr>
                    <m:sub>
                      <m:r>
                        <m:rPr>
                          <m:sty m:val="bi"/>
                        </m:rPr>
                        <w:rPr>
                          <w:rFonts w:ascii="Cambria Math" w:eastAsia="Times New Roman" w:hAnsi="Cambria Math" w:cs="Arial"/>
                          <w:color w:val="595959" w:themeColor="text1" w:themeTint="A6"/>
                          <w:sz w:val="20"/>
                          <w:szCs w:val="20"/>
                        </w:rPr>
                        <m:t>i</m:t>
                      </m:r>
                      <m:r>
                        <w:rPr>
                          <w:rFonts w:ascii="Cambria Math" w:eastAsia="Times New Roman" w:hAnsi="Cambria Math" w:cs="Arial"/>
                          <w:color w:val="595959" w:themeColor="text1" w:themeTint="A6"/>
                          <w:sz w:val="20"/>
                          <w:szCs w:val="20"/>
                          <w:lang w:val="it-IT"/>
                        </w:rPr>
                        <m:t>=</m:t>
                      </m:r>
                      <m:r>
                        <m:rPr>
                          <m:sty m:val="bi"/>
                        </m:rPr>
                        <w:rPr>
                          <w:rFonts w:ascii="Cambria Math" w:eastAsia="Times New Roman" w:hAnsi="Cambria Math" w:cs="Arial"/>
                          <w:color w:val="595959" w:themeColor="text1" w:themeTint="A6"/>
                          <w:sz w:val="20"/>
                          <w:szCs w:val="20"/>
                        </w:rPr>
                        <m:t>1</m:t>
                      </m:r>
                    </m:sub>
                    <m:sup/>
                    <m:e>
                      <m:sSub>
                        <m:sSubPr>
                          <m:ctrlPr>
                            <w:rPr>
                              <w:rFonts w:ascii="Cambria Math" w:eastAsia="Times New Roman" w:hAnsi="Cambria Math" w:cs="Arial"/>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Plazas</m:t>
                          </m:r>
                        </m:e>
                        <m:sub/>
                      </m:sSub>
                    </m:e>
                  </m:nary>
                </m:num>
                <m:den>
                  <m:nary>
                    <m:naryPr>
                      <m:chr m:val="∑"/>
                      <m:ctrlPr>
                        <w:rPr>
                          <w:rFonts w:ascii="Cambria Math" w:eastAsia="Times New Roman" w:hAnsi="Cambria Math" w:cs="Arial"/>
                          <w:i/>
                          <w:color w:val="595959" w:themeColor="text1" w:themeTint="A6"/>
                          <w:sz w:val="20"/>
                          <w:szCs w:val="20"/>
                        </w:rPr>
                      </m:ctrlPr>
                    </m:naryPr>
                    <m:sub>
                      <m:r>
                        <m:rPr>
                          <m:sty m:val="bi"/>
                        </m:rPr>
                        <w:rPr>
                          <w:rFonts w:ascii="Cambria Math" w:eastAsia="Times New Roman" w:hAnsi="Cambria Math" w:cs="Arial"/>
                          <w:color w:val="595959" w:themeColor="text1" w:themeTint="A6"/>
                          <w:sz w:val="20"/>
                          <w:szCs w:val="20"/>
                        </w:rPr>
                        <m:t>i</m:t>
                      </m:r>
                      <m:r>
                        <w:rPr>
                          <w:rFonts w:ascii="Cambria Math" w:eastAsia="Times New Roman" w:hAnsi="Cambria Math" w:cs="Arial"/>
                          <w:color w:val="595959" w:themeColor="text1" w:themeTint="A6"/>
                          <w:sz w:val="20"/>
                          <w:szCs w:val="20"/>
                          <w:lang w:val="it-IT"/>
                        </w:rPr>
                        <m:t>=</m:t>
                      </m:r>
                      <m:r>
                        <m:rPr>
                          <m:sty m:val="bi"/>
                        </m:rPr>
                        <w:rPr>
                          <w:rFonts w:ascii="Cambria Math" w:eastAsia="Times New Roman" w:hAnsi="Cambria Math" w:cs="Arial"/>
                          <w:color w:val="595959" w:themeColor="text1" w:themeTint="A6"/>
                          <w:sz w:val="20"/>
                          <w:szCs w:val="20"/>
                        </w:rPr>
                        <m:t>1</m:t>
                      </m:r>
                    </m:sub>
                    <m:sup>
                      <m:r>
                        <m:rPr>
                          <m:sty m:val="bi"/>
                        </m:rPr>
                        <w:rPr>
                          <w:rFonts w:ascii="Cambria Math" w:eastAsia="Times New Roman" w:hAnsi="Cambria Math" w:cs="Arial"/>
                          <w:color w:val="595959" w:themeColor="text1" w:themeTint="A6"/>
                          <w:sz w:val="20"/>
                          <w:szCs w:val="20"/>
                        </w:rPr>
                        <m:t>19</m:t>
                      </m:r>
                    </m:sup>
                    <m:e>
                      <m:sSub>
                        <m:sSubPr>
                          <m:ctrlPr>
                            <w:rPr>
                              <w:rFonts w:ascii="Cambria Math" w:eastAsia="Times New Roman" w:hAnsi="Cambria Math" w:cs="Arial"/>
                              <w:i/>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Plazas</m:t>
                          </m:r>
                          <m:r>
                            <m:rPr>
                              <m:sty m:val="bi"/>
                            </m:rPr>
                            <w:rPr>
                              <w:rFonts w:ascii="Cambria Math" w:eastAsia="Times New Roman" w:hAnsi="Cambria Math" w:cs="Arial"/>
                              <w:color w:val="595959" w:themeColor="text1" w:themeTint="A6"/>
                              <w:sz w:val="20"/>
                              <w:szCs w:val="20"/>
                              <w:lang w:val="it-IT"/>
                            </w:rPr>
                            <m:t xml:space="preserve"> </m:t>
                          </m:r>
                          <m:r>
                            <m:rPr>
                              <m:sty m:val="bi"/>
                            </m:rPr>
                            <w:rPr>
                              <w:rFonts w:ascii="Cambria Math" w:eastAsia="Times New Roman" w:hAnsi="Cambria Math" w:cs="Arial"/>
                              <w:color w:val="595959" w:themeColor="text1" w:themeTint="A6"/>
                              <w:sz w:val="20"/>
                              <w:szCs w:val="20"/>
                            </w:rPr>
                            <m:t>total</m:t>
                          </m:r>
                        </m:e>
                        <m:sub>
                          <m:r>
                            <m:rPr>
                              <m:sty m:val="bi"/>
                            </m:rPr>
                            <w:rPr>
                              <w:rFonts w:ascii="Cambria Math" w:eastAsia="Times New Roman" w:hAnsi="Cambria Math" w:cs="Arial"/>
                              <w:color w:val="595959" w:themeColor="text1" w:themeTint="A6"/>
                              <w:sz w:val="20"/>
                              <w:szCs w:val="20"/>
                            </w:rPr>
                            <m:t>i</m:t>
                          </m:r>
                        </m:sub>
                      </m:sSub>
                    </m:e>
                  </m:nary>
                </m:den>
              </m:f>
            </m:oMath>
          </w:p>
          <w:p w14:paraId="1848CB0E" w14:textId="77777777" w:rsidR="001C1B91" w:rsidRPr="007833E0" w:rsidRDefault="001C1B91" w:rsidP="00C455A9">
            <w:pPr>
              <w:rPr>
                <w:rFonts w:ascii="Century Gothic" w:eastAsia="Calibri" w:hAnsi="Century Gothic" w:cs="Times New Roman"/>
                <w:color w:val="595959" w:themeColor="text1" w:themeTint="A6"/>
                <w:sz w:val="20"/>
                <w:szCs w:val="20"/>
                <w:lang w:val="en-US"/>
              </w:rPr>
            </w:pPr>
          </w:p>
          <w:p w14:paraId="5AE2BADE" w14:textId="77777777" w:rsidR="001C1B91" w:rsidRPr="001C1B91" w:rsidRDefault="001C1B91" w:rsidP="00C455A9">
            <w:pPr>
              <w:rPr>
                <w:rFonts w:ascii="Century Gothic" w:hAnsi="Century Gothic"/>
                <w:color w:val="595959" w:themeColor="text1" w:themeTint="A6"/>
                <w:sz w:val="20"/>
                <w:szCs w:val="20"/>
              </w:rPr>
            </w:pPr>
            <w:r w:rsidRPr="001C1B91">
              <w:rPr>
                <w:rFonts w:ascii="Century Gothic" w:eastAsia="Calibri" w:hAnsi="Century Gothic" w:cs="Times New Roman"/>
                <w:color w:val="595959" w:themeColor="text1" w:themeTint="A6"/>
                <w:sz w:val="20"/>
                <w:szCs w:val="20"/>
              </w:rPr>
              <w:t>En do</w:t>
            </w:r>
            <w:r w:rsidRPr="001C1B91">
              <w:rPr>
                <w:rFonts w:ascii="Century Gothic" w:hAnsi="Century Gothic"/>
                <w:color w:val="595959" w:themeColor="text1" w:themeTint="A6"/>
                <w:sz w:val="20"/>
                <w:szCs w:val="20"/>
              </w:rPr>
              <w:t xml:space="preserve">nde: </w:t>
            </w:r>
          </w:p>
          <w:p w14:paraId="4727B2A9"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p>
          <w:p w14:paraId="58FDD955" w14:textId="71427102"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PPERAE</w:t>
            </w:r>
            <w:r w:rsidRPr="001C1B91">
              <w:rPr>
                <w:rFonts w:ascii="Century Gothic" w:eastAsia="Times New Roman" w:hAnsi="Century Gothic" w:cs="Arial"/>
                <w:color w:val="595959" w:themeColor="text1" w:themeTint="A6"/>
                <w:szCs w:val="20"/>
              </w:rPr>
              <w:t xml:space="preserve">: Porcentaje de plazas de empleo registrado </w:t>
            </w:r>
            <w:r w:rsidR="00C76C0D">
              <w:rPr>
                <w:rFonts w:ascii="Century Gothic" w:eastAsia="Times New Roman" w:hAnsi="Century Gothic" w:cs="Arial"/>
                <w:color w:val="595959" w:themeColor="text1" w:themeTint="A6"/>
                <w:szCs w:val="20"/>
              </w:rPr>
              <w:t>equivalente</w:t>
            </w:r>
            <w:r w:rsidRPr="001C1B91">
              <w:rPr>
                <w:rFonts w:ascii="Century Gothic" w:eastAsia="Times New Roman" w:hAnsi="Century Gothic" w:cs="Arial"/>
                <w:color w:val="595959" w:themeColor="text1" w:themeTint="A6"/>
                <w:szCs w:val="20"/>
              </w:rPr>
              <w:t xml:space="preserve"> en las empresas según actividad económica a un dígito de la CIIU Rev. 4.0 a nivel nacional.</w:t>
            </w:r>
          </w:p>
          <w:p w14:paraId="76161572" w14:textId="5D8DE782" w:rsidR="001C1B91" w:rsidRPr="001C1B91" w:rsidRDefault="007D4D27" w:rsidP="001C1B91">
            <w:pPr>
              <w:pStyle w:val="Prrafodelista"/>
              <w:spacing w:after="0"/>
              <w:ind w:left="0"/>
              <w:rPr>
                <w:rFonts w:ascii="Century Gothic" w:eastAsia="Times New Roman" w:hAnsi="Century Gothic" w:cs="Arial"/>
                <w:color w:val="595959" w:themeColor="text1" w:themeTint="A6"/>
                <w:szCs w:val="20"/>
              </w:rPr>
            </w:pPr>
            <m:oMath>
              <m:nary>
                <m:naryPr>
                  <m:chr m:val="∑"/>
                  <m:ctrlPr>
                    <w:rPr>
                      <w:rFonts w:ascii="Cambria Math" w:eastAsia="Times New Roman" w:hAnsi="Cambria Math" w:cs="Arial"/>
                      <w:b/>
                      <w:color w:val="595959" w:themeColor="text1" w:themeTint="A6"/>
                      <w:szCs w:val="20"/>
                    </w:rPr>
                  </m:ctrlPr>
                </m:naryPr>
                <m:sub>
                  <m:r>
                    <m:rPr>
                      <m:sty m:val="b"/>
                    </m:rPr>
                    <w:rPr>
                      <w:rFonts w:ascii="Cambria Math" w:eastAsia="Times New Roman" w:hAnsi="Cambria Math" w:cs="Arial"/>
                      <w:color w:val="595959" w:themeColor="text1" w:themeTint="A6"/>
                      <w:szCs w:val="20"/>
                    </w:rPr>
                    <m:t>i=1</m:t>
                  </m:r>
                </m:sub>
                <m:sup/>
                <m:e>
                  <m:sSub>
                    <m:sSubPr>
                      <m:ctrlPr>
                        <w:rPr>
                          <w:rFonts w:ascii="Cambria Math" w:eastAsia="Times New Roman" w:hAnsi="Cambria Math" w:cs="Arial"/>
                          <w:b/>
                          <w:color w:val="595959" w:themeColor="text1" w:themeTint="A6"/>
                          <w:szCs w:val="20"/>
                        </w:rPr>
                      </m:ctrlPr>
                    </m:sSubPr>
                    <m:e>
                      <m:r>
                        <m:rPr>
                          <m:sty m:val="b"/>
                        </m:rPr>
                        <w:rPr>
                          <w:rFonts w:ascii="Cambria Math" w:eastAsia="Times New Roman" w:hAnsi="Cambria Math" w:cs="Arial"/>
                          <w:color w:val="595959" w:themeColor="text1" w:themeTint="A6"/>
                          <w:szCs w:val="20"/>
                        </w:rPr>
                        <m:t>Plazas</m:t>
                      </m:r>
                    </m:e>
                    <m:sub/>
                  </m:sSub>
                </m:e>
              </m:nary>
            </m:oMath>
            <w:r w:rsidR="001C1B91" w:rsidRPr="001C1B91">
              <w:rPr>
                <w:rFonts w:ascii="Century Gothic" w:eastAsia="Times New Roman" w:hAnsi="Century Gothic" w:cs="Arial"/>
                <w:color w:val="595959" w:themeColor="text1" w:themeTint="A6"/>
                <w:szCs w:val="20"/>
              </w:rPr>
              <w:t xml:space="preserve">: Sumatoria de la variable plazas de empleo registrado </w:t>
            </w:r>
            <w:r w:rsidR="00C76C0D">
              <w:rPr>
                <w:rFonts w:ascii="Century Gothic" w:eastAsia="Times New Roman" w:hAnsi="Century Gothic" w:cs="Arial"/>
                <w:color w:val="595959" w:themeColor="text1" w:themeTint="A6"/>
                <w:szCs w:val="20"/>
              </w:rPr>
              <w:t>equivalente</w:t>
            </w:r>
            <w:r w:rsidR="001C1B91" w:rsidRPr="001C1B91">
              <w:rPr>
                <w:rFonts w:ascii="Century Gothic" w:eastAsia="Times New Roman" w:hAnsi="Century Gothic" w:cs="Arial"/>
                <w:color w:val="595959" w:themeColor="text1" w:themeTint="A6"/>
                <w:szCs w:val="20"/>
              </w:rPr>
              <w:t xml:space="preserve"> de empresas según la actividad económica i, a un dígito de la CIIU Rev. 4.0.</w:t>
            </w:r>
          </w:p>
          <w:p w14:paraId="4841B904" w14:textId="600AD2D9" w:rsidR="001C1B91" w:rsidRPr="001C1B91" w:rsidRDefault="007D4D27" w:rsidP="00C455A9">
            <w:pPr>
              <w:pStyle w:val="NormalWeb"/>
              <w:jc w:val="both"/>
              <w:rPr>
                <w:rFonts w:ascii="Century Gothic" w:eastAsia="Times New Roman" w:hAnsi="Century Gothic" w:cs="Arial"/>
                <w:color w:val="595959" w:themeColor="text1" w:themeTint="A6"/>
                <w:sz w:val="20"/>
                <w:szCs w:val="20"/>
              </w:rPr>
            </w:pPr>
            <m:oMath>
              <m:nary>
                <m:naryPr>
                  <m:chr m:val="∑"/>
                  <m:ctrlPr>
                    <w:rPr>
                      <w:rFonts w:ascii="Cambria Math" w:eastAsia="Times New Roman" w:hAnsi="Cambria Math" w:cs="Arial"/>
                      <w:b/>
                      <w:color w:val="595959" w:themeColor="text1" w:themeTint="A6"/>
                      <w:sz w:val="20"/>
                      <w:szCs w:val="20"/>
                    </w:rPr>
                  </m:ctrlPr>
                </m:naryPr>
                <m:sub>
                  <m:r>
                    <m:rPr>
                      <m:sty m:val="b"/>
                    </m:rPr>
                    <w:rPr>
                      <w:rFonts w:ascii="Cambria Math" w:eastAsia="Times New Roman" w:hAnsi="Cambria Math" w:cs="Arial"/>
                      <w:color w:val="595959" w:themeColor="text1" w:themeTint="A6"/>
                      <w:sz w:val="20"/>
                      <w:szCs w:val="20"/>
                    </w:rPr>
                    <m:t>i=1</m:t>
                  </m:r>
                </m:sub>
                <m:sup>
                  <m:r>
                    <m:rPr>
                      <m:sty m:val="b"/>
                    </m:rPr>
                    <w:rPr>
                      <w:rFonts w:ascii="Cambria Math" w:eastAsia="Times New Roman" w:hAnsi="Cambria Math" w:cs="Arial"/>
                      <w:color w:val="595959" w:themeColor="text1" w:themeTint="A6"/>
                      <w:sz w:val="20"/>
                      <w:szCs w:val="20"/>
                    </w:rPr>
                    <m:t>19</m:t>
                  </m:r>
                </m:sup>
                <m:e>
                  <m:sSub>
                    <m:sSubPr>
                      <m:ctrlPr>
                        <w:rPr>
                          <w:rFonts w:ascii="Cambria Math" w:eastAsia="Times New Roman" w:hAnsi="Cambria Math" w:cs="Arial"/>
                          <w:b/>
                          <w:color w:val="595959" w:themeColor="text1" w:themeTint="A6"/>
                          <w:sz w:val="20"/>
                          <w:szCs w:val="20"/>
                        </w:rPr>
                      </m:ctrlPr>
                    </m:sSubPr>
                    <m:e>
                      <m:r>
                        <m:rPr>
                          <m:sty m:val="b"/>
                        </m:rPr>
                        <w:rPr>
                          <w:rFonts w:ascii="Cambria Math" w:eastAsia="Times New Roman" w:hAnsi="Cambria Math" w:cs="Arial"/>
                          <w:color w:val="595959" w:themeColor="text1" w:themeTint="A6"/>
                          <w:sz w:val="20"/>
                          <w:szCs w:val="20"/>
                        </w:rPr>
                        <m:t>Plazas total</m:t>
                      </m:r>
                    </m:e>
                    <m:sub/>
                  </m:sSub>
                </m:e>
              </m:nary>
            </m:oMath>
            <w:r w:rsidR="001C1B91" w:rsidRPr="001C1B91">
              <w:rPr>
                <w:rFonts w:ascii="Century Gothic" w:eastAsia="Times New Roman" w:hAnsi="Century Gothic" w:cs="Arial"/>
                <w:color w:val="595959" w:themeColor="text1" w:themeTint="A6"/>
                <w:sz w:val="20"/>
                <w:szCs w:val="20"/>
              </w:rPr>
              <w:t xml:space="preserve">: Sumatoria de la variable plazas de empleo registrado </w:t>
            </w:r>
            <w:r w:rsidR="00C76C0D">
              <w:rPr>
                <w:rFonts w:ascii="Century Gothic" w:eastAsia="Times New Roman" w:hAnsi="Century Gothic" w:cs="Arial"/>
                <w:color w:val="595959" w:themeColor="text1" w:themeTint="A6"/>
                <w:sz w:val="20"/>
                <w:szCs w:val="20"/>
              </w:rPr>
              <w:t>equivalente</w:t>
            </w:r>
            <w:r w:rsidR="001C1B91" w:rsidRPr="001C1B91">
              <w:rPr>
                <w:rFonts w:ascii="Century Gothic" w:eastAsia="Times New Roman" w:hAnsi="Century Gothic" w:cs="Arial"/>
                <w:color w:val="595959" w:themeColor="text1" w:themeTint="A6"/>
                <w:sz w:val="20"/>
                <w:szCs w:val="20"/>
              </w:rPr>
              <w:t xml:space="preserve"> total de empresas.</w:t>
            </w:r>
          </w:p>
          <w:p w14:paraId="1C639902" w14:textId="77777777" w:rsidR="001C1B91" w:rsidRPr="001C1B91" w:rsidRDefault="001C1B91" w:rsidP="00C455A9">
            <w:pPr>
              <w:pStyle w:val="Prrafodelista"/>
              <w:ind w:left="0"/>
              <w:rPr>
                <w:rFonts w:ascii="Century Gothic" w:eastAsia="Calibri" w:hAnsi="Century Gothic" w:cs="Times New Roman"/>
                <w:b/>
                <w:color w:val="595959" w:themeColor="text1" w:themeTint="A6"/>
                <w:szCs w:val="20"/>
                <w:lang w:val="es-ES_tradnl"/>
              </w:rPr>
            </w:pPr>
            <w:r w:rsidRPr="001C1B91">
              <w:rPr>
                <w:rFonts w:ascii="Century Gothic" w:eastAsia="Times New Roman" w:hAnsi="Century Gothic" w:cs="Arial"/>
                <w:b/>
                <w:color w:val="595959" w:themeColor="text1" w:themeTint="A6"/>
                <w:szCs w:val="20"/>
              </w:rPr>
              <w:t>t</w:t>
            </w:r>
            <w:r w:rsidRPr="001C1B91">
              <w:rPr>
                <w:rFonts w:ascii="Century Gothic" w:eastAsia="Times New Roman" w:hAnsi="Century Gothic" w:cs="Arial"/>
                <w:color w:val="595959" w:themeColor="text1" w:themeTint="A6"/>
                <w:szCs w:val="20"/>
              </w:rPr>
              <w:t>: Año de referencia.</w:t>
            </w:r>
          </w:p>
        </w:tc>
      </w:tr>
      <w:tr w:rsidR="001C1B91" w:rsidRPr="000D0CBC" w14:paraId="7223F46D" w14:textId="77777777" w:rsidTr="00595069">
        <w:trPr>
          <w:trHeight w:val="5612"/>
          <w:jc w:val="center"/>
        </w:trPr>
        <w:tc>
          <w:tcPr>
            <w:tcW w:w="2168" w:type="dxa"/>
            <w:shd w:val="clear" w:color="000000" w:fill="FFFFFF"/>
            <w:vAlign w:val="center"/>
          </w:tcPr>
          <w:p w14:paraId="5A2BAD10" w14:textId="3F401846"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Porcentaje de plazas de empleo registrado</w:t>
            </w:r>
            <w:r w:rsidR="006E4181">
              <w:rPr>
                <w:rFonts w:ascii="Century Gothic" w:hAnsi="Century Gothic"/>
                <w:color w:val="595959" w:themeColor="text1" w:themeTint="A6"/>
                <w:sz w:val="20"/>
                <w:szCs w:val="20"/>
              </w:rPr>
              <w:t xml:space="preserve"> equivalente</w:t>
            </w:r>
            <w:r w:rsidRPr="001C1B91">
              <w:rPr>
                <w:rFonts w:ascii="Century Gothic" w:hAnsi="Century Gothic"/>
                <w:color w:val="595959" w:themeColor="text1" w:themeTint="A6"/>
                <w:sz w:val="20"/>
                <w:szCs w:val="20"/>
              </w:rPr>
              <w:t xml:space="preserve"> en las empresas por sexo y provincia.</w:t>
            </w:r>
          </w:p>
          <w:p w14:paraId="589B33B3" w14:textId="77777777" w:rsidR="001C1B91" w:rsidRPr="001C1B91" w:rsidRDefault="001C1B91" w:rsidP="00C455A9">
            <w:pPr>
              <w:jc w:val="center"/>
              <w:rPr>
                <w:rFonts w:ascii="Cambria Math" w:hAnsi="Cambria Math"/>
                <w:color w:val="595959" w:themeColor="text1" w:themeTint="A6"/>
                <w:sz w:val="20"/>
                <w:szCs w:val="20"/>
                <w:lang w:val="es-ES"/>
              </w:rPr>
            </w:pPr>
            <w:r w:rsidRPr="001C1B91">
              <w:rPr>
                <w:rFonts w:ascii="Cambria Math" w:eastAsia="Times New Roman" w:hAnsi="Cambria Math" w:cs="Arial"/>
                <w:b/>
                <w:i/>
                <w:color w:val="595959" w:themeColor="text1" w:themeTint="A6"/>
                <w:sz w:val="20"/>
                <w:szCs w:val="20"/>
                <w:lang w:val="it-IT"/>
              </w:rPr>
              <w:t>PPERESP</w:t>
            </w:r>
          </w:p>
        </w:tc>
        <w:tc>
          <w:tcPr>
            <w:tcW w:w="2493" w:type="dxa"/>
            <w:shd w:val="clear" w:color="000000" w:fill="FFFFFF"/>
            <w:noWrap/>
            <w:vAlign w:val="center"/>
          </w:tcPr>
          <w:p w14:paraId="551B41A7" w14:textId="3158C669" w:rsidR="001C1B91" w:rsidRPr="001C1B91" w:rsidRDefault="001C1B91" w:rsidP="00C455A9">
            <w:pPr>
              <w:rPr>
                <w:rFonts w:ascii="Century Gothic" w:hAnsi="Century Gothic"/>
                <w:color w:val="595959" w:themeColor="text1" w:themeTint="A6"/>
                <w:sz w:val="20"/>
                <w:szCs w:val="20"/>
                <w:lang w:val="es-ES"/>
              </w:rPr>
            </w:pPr>
            <w:r w:rsidRPr="001C1B91">
              <w:rPr>
                <w:rFonts w:ascii="Century Gothic" w:hAnsi="Century Gothic"/>
                <w:color w:val="595959" w:themeColor="text1" w:themeTint="A6"/>
                <w:sz w:val="20"/>
                <w:szCs w:val="20"/>
              </w:rPr>
              <w:t xml:space="preserve">Mide el porcentaje de “plazas de empleo registrado </w:t>
            </w:r>
            <w:r w:rsidR="006E4181">
              <w:rPr>
                <w:rFonts w:ascii="Century Gothic" w:hAnsi="Century Gothic"/>
                <w:color w:val="595959" w:themeColor="text1" w:themeTint="A6"/>
                <w:sz w:val="20"/>
                <w:szCs w:val="20"/>
              </w:rPr>
              <w:t>equivalente</w:t>
            </w:r>
            <w:r w:rsidRPr="001C1B91">
              <w:rPr>
                <w:rFonts w:ascii="Century Gothic" w:hAnsi="Century Gothic"/>
                <w:color w:val="595959" w:themeColor="text1" w:themeTint="A6"/>
                <w:sz w:val="20"/>
                <w:szCs w:val="20"/>
              </w:rPr>
              <w:t>” y “empleo registrado</w:t>
            </w:r>
            <w:r w:rsidR="006E4181">
              <w:rPr>
                <w:rFonts w:ascii="Century Gothic" w:hAnsi="Century Gothic"/>
                <w:color w:val="595959" w:themeColor="text1" w:themeTint="A6"/>
                <w:sz w:val="20"/>
                <w:szCs w:val="20"/>
              </w:rPr>
              <w:t xml:space="preserve"> equivalente</w:t>
            </w:r>
            <w:r w:rsidRPr="001C1B91">
              <w:rPr>
                <w:rFonts w:ascii="Century Gothic" w:hAnsi="Century Gothic"/>
                <w:color w:val="595959" w:themeColor="text1" w:themeTint="A6"/>
                <w:sz w:val="20"/>
                <w:szCs w:val="20"/>
              </w:rPr>
              <w:t>” que las empresas disponen a nivel provincial y por sexo.</w:t>
            </w:r>
          </w:p>
        </w:tc>
        <w:tc>
          <w:tcPr>
            <w:tcW w:w="2268" w:type="dxa"/>
            <w:shd w:val="clear" w:color="000000" w:fill="FFFFFF"/>
            <w:vAlign w:val="center"/>
          </w:tcPr>
          <w:p w14:paraId="11B28587"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total /Empleo registrado total</w:t>
            </w:r>
          </w:p>
          <w:p w14:paraId="08B94810"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hombres / Empleo registrado hombres</w:t>
            </w:r>
          </w:p>
          <w:p w14:paraId="470E543F"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Plazas de empleo registrado mujeres / Empleo registrado mujeres</w:t>
            </w:r>
          </w:p>
          <w:p w14:paraId="0BC2C4D7"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Provincia</w:t>
            </w:r>
          </w:p>
        </w:tc>
        <w:tc>
          <w:tcPr>
            <w:tcW w:w="2933" w:type="dxa"/>
            <w:shd w:val="clear" w:color="000000" w:fill="FFFFFF"/>
            <w:vAlign w:val="center"/>
          </w:tcPr>
          <w:p w14:paraId="4A061850" w14:textId="77777777" w:rsidR="001C1B91" w:rsidRPr="001C1B91" w:rsidRDefault="001C1B91" w:rsidP="00C455A9">
            <w:pPr>
              <w:rPr>
                <w:rFonts w:eastAsia="Times New Roman" w:cs="Arial"/>
                <w:color w:val="595959" w:themeColor="text1" w:themeTint="A6"/>
                <w:sz w:val="20"/>
                <w:szCs w:val="20"/>
                <w:lang w:val="it-IT"/>
              </w:rPr>
            </w:pPr>
            <w:r w:rsidRPr="001C1B91">
              <w:rPr>
                <w:rFonts w:asciiTheme="majorHAnsi" w:eastAsia="Times New Roman" w:hAnsiTheme="majorHAnsi" w:cs="Arial"/>
                <w:b/>
                <w:i/>
                <w:color w:val="595959" w:themeColor="text1" w:themeTint="A6"/>
                <w:sz w:val="20"/>
                <w:szCs w:val="20"/>
                <w:lang w:val="it-IT"/>
              </w:rPr>
              <w:t>PPERESP(t)</w:t>
            </w:r>
            <w:r w:rsidRPr="001C1B91">
              <w:rPr>
                <w:rFonts w:asciiTheme="majorHAnsi" w:eastAsia="Times New Roman" w:hAnsiTheme="majorHAnsi" w:cs="Arial"/>
                <w:color w:val="595959" w:themeColor="text1" w:themeTint="A6"/>
                <w:sz w:val="20"/>
                <w:szCs w:val="20"/>
                <w:lang w:val="it-IT"/>
              </w:rPr>
              <w:t xml:space="preserve"> =  </w:t>
            </w:r>
            <m:oMath>
              <m:f>
                <m:fPr>
                  <m:ctrlPr>
                    <w:rPr>
                      <w:rFonts w:ascii="Cambria Math" w:eastAsia="Times New Roman" w:hAnsi="Cambria Math" w:cs="Arial"/>
                      <w:color w:val="595959" w:themeColor="text1" w:themeTint="A6"/>
                      <w:sz w:val="20"/>
                      <w:szCs w:val="20"/>
                    </w:rPr>
                  </m:ctrlPr>
                </m:fPr>
                <m:num>
                  <m:nary>
                    <m:naryPr>
                      <m:chr m:val="∑"/>
                      <m:limLoc m:val="undOvr"/>
                      <m:ctrlPr>
                        <w:rPr>
                          <w:rFonts w:ascii="Cambria Math" w:eastAsia="Times New Roman" w:hAnsi="Cambria Math" w:cs="Arial"/>
                          <w:color w:val="595959" w:themeColor="text1" w:themeTint="A6"/>
                          <w:sz w:val="20"/>
                          <w:szCs w:val="20"/>
                        </w:rPr>
                      </m:ctrlPr>
                    </m:naryPr>
                    <m:sub>
                      <m:r>
                        <m:rPr>
                          <m:sty m:val="bi"/>
                        </m:rPr>
                        <w:rPr>
                          <w:rFonts w:ascii="Cambria Math" w:eastAsia="Times New Roman" w:hAnsi="Cambria Math" w:cs="Arial"/>
                          <w:color w:val="595959" w:themeColor="text1" w:themeTint="A6"/>
                          <w:sz w:val="20"/>
                          <w:szCs w:val="20"/>
                        </w:rPr>
                        <m:t>i</m:t>
                      </m:r>
                      <m:r>
                        <m:rPr>
                          <m:sty m:val="p"/>
                        </m:rPr>
                        <w:rPr>
                          <w:rFonts w:ascii="Cambria Math" w:eastAsia="Times New Roman" w:hAnsi="Cambria Math" w:cs="Arial"/>
                          <w:color w:val="595959" w:themeColor="text1" w:themeTint="A6"/>
                          <w:sz w:val="20"/>
                          <w:szCs w:val="20"/>
                          <w:lang w:val="it-IT"/>
                        </w:rPr>
                        <m:t>=</m:t>
                      </m:r>
                      <m:r>
                        <m:rPr>
                          <m:sty m:val="b"/>
                        </m:rPr>
                        <w:rPr>
                          <w:rFonts w:ascii="Cambria Math" w:eastAsia="Times New Roman" w:hAnsi="Cambria Math" w:cs="Arial"/>
                          <w:color w:val="595959" w:themeColor="text1" w:themeTint="A6"/>
                          <w:sz w:val="20"/>
                          <w:szCs w:val="20"/>
                        </w:rPr>
                        <m:t>1</m:t>
                      </m:r>
                    </m:sub>
                    <m:sup/>
                    <m:e>
                      <m:sSub>
                        <m:sSubPr>
                          <m:ctrlPr>
                            <w:rPr>
                              <w:rFonts w:ascii="Cambria Math" w:eastAsia="Times New Roman" w:hAnsi="Cambria Math" w:cs="Arial"/>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Plazas</m:t>
                          </m:r>
                        </m:e>
                        <m:sub/>
                      </m:sSub>
                    </m:e>
                  </m:nary>
                </m:num>
                <m:den>
                  <m:nary>
                    <m:naryPr>
                      <m:chr m:val="∑"/>
                      <m:ctrlPr>
                        <w:rPr>
                          <w:rFonts w:ascii="Cambria Math" w:eastAsia="Times New Roman" w:hAnsi="Cambria Math" w:cs="Arial"/>
                          <w:color w:val="595959" w:themeColor="text1" w:themeTint="A6"/>
                          <w:sz w:val="20"/>
                          <w:szCs w:val="20"/>
                        </w:rPr>
                      </m:ctrlPr>
                    </m:naryPr>
                    <m:sub>
                      <m:r>
                        <m:rPr>
                          <m:sty m:val="bi"/>
                        </m:rPr>
                        <w:rPr>
                          <w:rFonts w:ascii="Cambria Math" w:eastAsia="Times New Roman" w:hAnsi="Cambria Math" w:cs="Arial"/>
                          <w:color w:val="595959" w:themeColor="text1" w:themeTint="A6"/>
                          <w:sz w:val="20"/>
                          <w:szCs w:val="20"/>
                        </w:rPr>
                        <m:t>i</m:t>
                      </m:r>
                      <m:r>
                        <m:rPr>
                          <m:sty m:val="p"/>
                        </m:rPr>
                        <w:rPr>
                          <w:rFonts w:ascii="Cambria Math" w:eastAsia="Times New Roman" w:hAnsi="Cambria Math" w:cs="Arial"/>
                          <w:color w:val="595959" w:themeColor="text1" w:themeTint="A6"/>
                          <w:sz w:val="20"/>
                          <w:szCs w:val="20"/>
                          <w:lang w:val="it-IT"/>
                        </w:rPr>
                        <m:t>=</m:t>
                      </m:r>
                      <m:r>
                        <m:rPr>
                          <m:sty m:val="b"/>
                        </m:rPr>
                        <w:rPr>
                          <w:rFonts w:ascii="Cambria Math" w:eastAsia="Times New Roman" w:hAnsi="Cambria Math" w:cs="Arial"/>
                          <w:color w:val="595959" w:themeColor="text1" w:themeTint="A6"/>
                          <w:sz w:val="20"/>
                          <w:szCs w:val="20"/>
                        </w:rPr>
                        <m:t>1</m:t>
                      </m:r>
                    </m:sub>
                    <m:sup>
                      <m:r>
                        <m:rPr>
                          <m:sty m:val="b"/>
                        </m:rPr>
                        <w:rPr>
                          <w:rFonts w:ascii="Cambria Math" w:eastAsia="Times New Roman" w:hAnsi="Cambria Math" w:cs="Arial"/>
                          <w:color w:val="595959" w:themeColor="text1" w:themeTint="A6"/>
                          <w:sz w:val="20"/>
                          <w:szCs w:val="20"/>
                        </w:rPr>
                        <m:t>24</m:t>
                      </m:r>
                    </m:sup>
                    <m:e>
                      <m:sSub>
                        <m:sSubPr>
                          <m:ctrlPr>
                            <w:rPr>
                              <w:rFonts w:ascii="Cambria Math" w:eastAsia="Times New Roman" w:hAnsi="Cambria Math" w:cs="Arial"/>
                              <w:color w:val="595959" w:themeColor="text1" w:themeTint="A6"/>
                              <w:sz w:val="20"/>
                              <w:szCs w:val="20"/>
                            </w:rPr>
                          </m:ctrlPr>
                        </m:sSubPr>
                        <m:e>
                          <m:r>
                            <m:rPr>
                              <m:sty m:val="bi"/>
                            </m:rPr>
                            <w:rPr>
                              <w:rFonts w:ascii="Cambria Math" w:eastAsia="Times New Roman" w:hAnsi="Cambria Math" w:cs="Arial"/>
                              <w:color w:val="595959" w:themeColor="text1" w:themeTint="A6"/>
                              <w:sz w:val="20"/>
                              <w:szCs w:val="20"/>
                            </w:rPr>
                            <m:t>Plazas</m:t>
                          </m:r>
                          <m:r>
                            <m:rPr>
                              <m:sty m:val="bi"/>
                            </m:rPr>
                            <w:rPr>
                              <w:rFonts w:ascii="Cambria Math" w:eastAsia="Times New Roman" w:hAnsi="Cambria Math" w:cs="Arial"/>
                              <w:color w:val="595959" w:themeColor="text1" w:themeTint="A6"/>
                              <w:sz w:val="20"/>
                              <w:szCs w:val="20"/>
                              <w:lang w:val="it-IT"/>
                            </w:rPr>
                            <m:t xml:space="preserve"> </m:t>
                          </m:r>
                          <m:r>
                            <m:rPr>
                              <m:sty m:val="bi"/>
                            </m:rPr>
                            <w:rPr>
                              <w:rFonts w:ascii="Cambria Math" w:eastAsia="Times New Roman" w:hAnsi="Cambria Math" w:cs="Arial"/>
                              <w:color w:val="595959" w:themeColor="text1" w:themeTint="A6"/>
                              <w:sz w:val="20"/>
                              <w:szCs w:val="20"/>
                            </w:rPr>
                            <m:t>total</m:t>
                          </m:r>
                        </m:e>
                        <m:sub>
                          <m:r>
                            <m:rPr>
                              <m:sty m:val="bi"/>
                            </m:rPr>
                            <w:rPr>
                              <w:rFonts w:ascii="Cambria Math" w:eastAsia="Times New Roman" w:hAnsi="Cambria Math" w:cs="Arial"/>
                              <w:color w:val="595959" w:themeColor="text1" w:themeTint="A6"/>
                              <w:sz w:val="20"/>
                              <w:szCs w:val="20"/>
                            </w:rPr>
                            <m:t>i</m:t>
                          </m:r>
                        </m:sub>
                      </m:sSub>
                    </m:e>
                  </m:nary>
                </m:den>
              </m:f>
            </m:oMath>
            <w:r w:rsidRPr="001C1B91">
              <w:rPr>
                <w:rFonts w:eastAsia="Times New Roman" w:cs="Arial"/>
                <w:color w:val="595959" w:themeColor="text1" w:themeTint="A6"/>
                <w:sz w:val="20"/>
                <w:szCs w:val="20"/>
                <w:lang w:val="it-IT"/>
              </w:rPr>
              <w:t xml:space="preserve">  </w:t>
            </w:r>
          </w:p>
          <w:p w14:paraId="765CEDC0" w14:textId="77777777" w:rsidR="001C1B91" w:rsidRPr="007833E0" w:rsidRDefault="001C1B91" w:rsidP="00C455A9">
            <w:pPr>
              <w:rPr>
                <w:rFonts w:ascii="Century Gothic" w:eastAsia="Calibri" w:hAnsi="Century Gothic" w:cs="Times New Roman"/>
                <w:color w:val="595959" w:themeColor="text1" w:themeTint="A6"/>
                <w:sz w:val="20"/>
                <w:szCs w:val="20"/>
                <w:lang w:val="en-US"/>
              </w:rPr>
            </w:pPr>
          </w:p>
          <w:p w14:paraId="66DF9558" w14:textId="77777777" w:rsidR="001C1B91" w:rsidRDefault="001C1B91" w:rsidP="00C455A9">
            <w:pPr>
              <w:rPr>
                <w:rFonts w:ascii="Century Gothic" w:hAnsi="Century Gothic"/>
                <w:color w:val="595959" w:themeColor="text1" w:themeTint="A6"/>
                <w:sz w:val="20"/>
                <w:szCs w:val="20"/>
              </w:rPr>
            </w:pPr>
            <w:r w:rsidRPr="001C1B91">
              <w:rPr>
                <w:rFonts w:ascii="Century Gothic" w:eastAsia="Calibri" w:hAnsi="Century Gothic" w:cs="Times New Roman"/>
                <w:color w:val="595959" w:themeColor="text1" w:themeTint="A6"/>
                <w:sz w:val="20"/>
                <w:szCs w:val="20"/>
              </w:rPr>
              <w:t>En do</w:t>
            </w:r>
            <w:r w:rsidRPr="001C1B91">
              <w:rPr>
                <w:rFonts w:ascii="Century Gothic" w:hAnsi="Century Gothic"/>
                <w:color w:val="595959" w:themeColor="text1" w:themeTint="A6"/>
                <w:sz w:val="20"/>
                <w:szCs w:val="20"/>
              </w:rPr>
              <w:t xml:space="preserve">nde: </w:t>
            </w:r>
          </w:p>
          <w:p w14:paraId="6619C999" w14:textId="77777777" w:rsidR="001C1B91" w:rsidRPr="001C1B91" w:rsidRDefault="001C1B91" w:rsidP="00C455A9">
            <w:pPr>
              <w:rPr>
                <w:rFonts w:ascii="Century Gothic" w:hAnsi="Century Gothic"/>
                <w:color w:val="595959" w:themeColor="text1" w:themeTint="A6"/>
                <w:sz w:val="20"/>
                <w:szCs w:val="20"/>
              </w:rPr>
            </w:pPr>
          </w:p>
          <w:p w14:paraId="2A713A78" w14:textId="7FE656A9"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PPERESP</w:t>
            </w:r>
            <w:r w:rsidRPr="001C1B91">
              <w:rPr>
                <w:rFonts w:ascii="Century Gothic" w:eastAsia="Times New Roman" w:hAnsi="Century Gothic" w:cs="Arial"/>
                <w:color w:val="595959" w:themeColor="text1" w:themeTint="A6"/>
                <w:szCs w:val="20"/>
              </w:rPr>
              <w:t xml:space="preserve">: Porcentaje de plazas de empleo registrado </w:t>
            </w:r>
            <w:r w:rsidR="002947B3">
              <w:rPr>
                <w:rFonts w:ascii="Century Gothic" w:eastAsia="Times New Roman" w:hAnsi="Century Gothic" w:cs="Arial"/>
                <w:color w:val="595959" w:themeColor="text1" w:themeTint="A6"/>
                <w:szCs w:val="20"/>
              </w:rPr>
              <w:t>equivalente</w:t>
            </w:r>
            <w:r w:rsidRPr="001C1B91">
              <w:rPr>
                <w:rFonts w:ascii="Century Gothic" w:eastAsia="Times New Roman" w:hAnsi="Century Gothic" w:cs="Arial"/>
                <w:color w:val="595959" w:themeColor="text1" w:themeTint="A6"/>
                <w:szCs w:val="20"/>
              </w:rPr>
              <w:t xml:space="preserve"> en las empresas por provincia.</w:t>
            </w:r>
          </w:p>
          <w:p w14:paraId="38376F8D"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t</w:t>
            </w:r>
            <w:r w:rsidRPr="001C1B91">
              <w:rPr>
                <w:rFonts w:ascii="Century Gothic" w:eastAsia="Times New Roman" w:hAnsi="Century Gothic" w:cs="Arial"/>
                <w:color w:val="595959" w:themeColor="text1" w:themeTint="A6"/>
                <w:szCs w:val="20"/>
              </w:rPr>
              <w:t>: Año de referencia.</w:t>
            </w:r>
          </w:p>
          <w:p w14:paraId="61A15ED0" w14:textId="5C89EC25" w:rsidR="001C1B91" w:rsidRPr="001C1B91" w:rsidRDefault="007D4D27" w:rsidP="00C455A9">
            <w:pPr>
              <w:pStyle w:val="Prrafodelista"/>
              <w:ind w:left="0"/>
              <w:rPr>
                <w:rFonts w:ascii="Century Gothic" w:eastAsia="Times New Roman" w:hAnsi="Century Gothic" w:cs="Arial"/>
                <w:color w:val="595959" w:themeColor="text1" w:themeTint="A6"/>
                <w:szCs w:val="20"/>
              </w:rPr>
            </w:pPr>
            <m:oMath>
              <m:nary>
                <m:naryPr>
                  <m:chr m:val="∑"/>
                  <m:ctrlPr>
                    <w:rPr>
                      <w:rFonts w:ascii="Cambria Math" w:eastAsia="Times New Roman" w:hAnsi="Cambria Math" w:cs="Arial"/>
                      <w:b/>
                      <w:color w:val="595959" w:themeColor="text1" w:themeTint="A6"/>
                      <w:szCs w:val="20"/>
                    </w:rPr>
                  </m:ctrlPr>
                </m:naryPr>
                <m:sub>
                  <m:r>
                    <m:rPr>
                      <m:sty m:val="b"/>
                    </m:rPr>
                    <w:rPr>
                      <w:rFonts w:ascii="Cambria Math" w:eastAsia="Times New Roman" w:hAnsi="Cambria Math" w:cs="Arial"/>
                      <w:color w:val="595959" w:themeColor="text1" w:themeTint="A6"/>
                      <w:szCs w:val="20"/>
                    </w:rPr>
                    <m:t>i=1</m:t>
                  </m:r>
                </m:sub>
                <m:sup/>
                <m:e>
                  <m:sSub>
                    <m:sSubPr>
                      <m:ctrlPr>
                        <w:rPr>
                          <w:rFonts w:ascii="Cambria Math" w:eastAsia="Times New Roman" w:hAnsi="Cambria Math" w:cs="Arial"/>
                          <w:b/>
                          <w:color w:val="595959" w:themeColor="text1" w:themeTint="A6"/>
                          <w:szCs w:val="20"/>
                        </w:rPr>
                      </m:ctrlPr>
                    </m:sSubPr>
                    <m:e>
                      <m:r>
                        <m:rPr>
                          <m:sty m:val="b"/>
                        </m:rPr>
                        <w:rPr>
                          <w:rFonts w:ascii="Cambria Math" w:eastAsia="Times New Roman" w:hAnsi="Cambria Math" w:cs="Arial"/>
                          <w:color w:val="595959" w:themeColor="text1" w:themeTint="A6"/>
                          <w:szCs w:val="20"/>
                        </w:rPr>
                        <m:t>Plazas</m:t>
                      </m:r>
                    </m:e>
                    <m:sub/>
                  </m:sSub>
                </m:e>
              </m:nary>
            </m:oMath>
            <w:r w:rsidR="001C1B91" w:rsidRPr="001C1B91">
              <w:rPr>
                <w:rFonts w:ascii="Century Gothic" w:eastAsia="Times New Roman" w:hAnsi="Century Gothic" w:cs="Arial"/>
                <w:color w:val="595959" w:themeColor="text1" w:themeTint="A6"/>
                <w:szCs w:val="20"/>
              </w:rPr>
              <w:t xml:space="preserve">: Sumatoria de la variable plazas de empleo registrado </w:t>
            </w:r>
            <w:r w:rsidR="007E172E">
              <w:rPr>
                <w:rFonts w:ascii="Century Gothic" w:eastAsia="Times New Roman" w:hAnsi="Century Gothic" w:cs="Arial"/>
                <w:color w:val="595959" w:themeColor="text1" w:themeTint="A6"/>
                <w:szCs w:val="20"/>
              </w:rPr>
              <w:t>equivalente</w:t>
            </w:r>
            <w:r w:rsidR="001C1B91" w:rsidRPr="001C1B91">
              <w:rPr>
                <w:rFonts w:ascii="Century Gothic" w:eastAsia="Times New Roman" w:hAnsi="Century Gothic" w:cs="Arial"/>
                <w:color w:val="595959" w:themeColor="text1" w:themeTint="A6"/>
                <w:szCs w:val="20"/>
              </w:rPr>
              <w:t xml:space="preserve"> de la provincia i del año de estudio.</w:t>
            </w:r>
          </w:p>
          <w:p w14:paraId="17BABE51" w14:textId="7DE8CB7D" w:rsidR="001C1B91" w:rsidRPr="001C1B91" w:rsidRDefault="007D4D27" w:rsidP="00595069">
            <w:pPr>
              <w:pStyle w:val="Prrafodelista"/>
              <w:ind w:left="0"/>
              <w:rPr>
                <w:rFonts w:ascii="Century Gothic" w:eastAsia="Calibri" w:hAnsi="Century Gothic" w:cs="Times New Roman"/>
                <w:b/>
                <w:color w:val="595959" w:themeColor="text1" w:themeTint="A6"/>
                <w:szCs w:val="20"/>
              </w:rPr>
            </w:pPr>
            <m:oMath>
              <m:nary>
                <m:naryPr>
                  <m:chr m:val="∑"/>
                  <m:ctrlPr>
                    <w:rPr>
                      <w:rFonts w:ascii="Cambria Math" w:eastAsia="Times New Roman" w:hAnsi="Cambria Math" w:cs="Arial"/>
                      <w:b/>
                      <w:color w:val="595959" w:themeColor="text1" w:themeTint="A6"/>
                      <w:szCs w:val="20"/>
                    </w:rPr>
                  </m:ctrlPr>
                </m:naryPr>
                <m:sub>
                  <m:r>
                    <m:rPr>
                      <m:sty m:val="b"/>
                    </m:rPr>
                    <w:rPr>
                      <w:rFonts w:ascii="Cambria Math" w:eastAsia="Times New Roman" w:hAnsi="Cambria Math" w:cs="Arial"/>
                      <w:color w:val="595959" w:themeColor="text1" w:themeTint="A6"/>
                      <w:szCs w:val="20"/>
                    </w:rPr>
                    <m:t>i=1</m:t>
                  </m:r>
                </m:sub>
                <m:sup>
                  <m:r>
                    <m:rPr>
                      <m:sty m:val="bi"/>
                    </m:rPr>
                    <w:rPr>
                      <w:rFonts w:ascii="Cambria Math" w:eastAsia="Times New Roman" w:hAnsi="Cambria Math" w:cs="Arial"/>
                      <w:color w:val="595959" w:themeColor="text1" w:themeTint="A6"/>
                      <w:szCs w:val="20"/>
                    </w:rPr>
                    <m:t>24</m:t>
                  </m:r>
                </m:sup>
                <m:e>
                  <m:sSub>
                    <m:sSubPr>
                      <m:ctrlPr>
                        <w:rPr>
                          <w:rFonts w:ascii="Cambria Math" w:eastAsia="Times New Roman" w:hAnsi="Cambria Math" w:cs="Arial"/>
                          <w:b/>
                          <w:color w:val="595959" w:themeColor="text1" w:themeTint="A6"/>
                          <w:szCs w:val="20"/>
                        </w:rPr>
                      </m:ctrlPr>
                    </m:sSubPr>
                    <m:e>
                      <m:r>
                        <m:rPr>
                          <m:sty m:val="b"/>
                        </m:rPr>
                        <w:rPr>
                          <w:rFonts w:ascii="Cambria Math" w:eastAsia="Times New Roman" w:hAnsi="Cambria Math" w:cs="Arial"/>
                          <w:color w:val="595959" w:themeColor="text1" w:themeTint="A6"/>
                          <w:szCs w:val="20"/>
                        </w:rPr>
                        <m:t>Plazas total</m:t>
                      </m:r>
                    </m:e>
                    <m:sub>
                      <m:r>
                        <m:rPr>
                          <m:sty m:val="b"/>
                        </m:rPr>
                        <w:rPr>
                          <w:rFonts w:ascii="Cambria Math" w:eastAsia="Times New Roman" w:hAnsi="Cambria Math" w:cs="Arial"/>
                          <w:color w:val="595959" w:themeColor="text1" w:themeTint="A6"/>
                          <w:szCs w:val="20"/>
                        </w:rPr>
                        <m:t>MH</m:t>
                      </m:r>
                    </m:sub>
                  </m:sSub>
                </m:e>
              </m:nary>
            </m:oMath>
            <w:r w:rsidR="001C1B91" w:rsidRPr="001C1B91">
              <w:rPr>
                <w:rFonts w:ascii="Century Gothic" w:eastAsia="Times New Roman" w:hAnsi="Century Gothic" w:cs="Arial"/>
                <w:color w:val="595959" w:themeColor="text1" w:themeTint="A6"/>
                <w:szCs w:val="20"/>
              </w:rPr>
              <w:t xml:space="preserve"> : Sumatoria de la variable plazas de empleo registrado </w:t>
            </w:r>
            <w:r w:rsidR="007E172E">
              <w:rPr>
                <w:rFonts w:ascii="Century Gothic" w:eastAsia="Times New Roman" w:hAnsi="Century Gothic" w:cs="Arial"/>
                <w:color w:val="595959" w:themeColor="text1" w:themeTint="A6"/>
                <w:szCs w:val="20"/>
              </w:rPr>
              <w:t>equivalente</w:t>
            </w:r>
            <w:r w:rsidR="001C1B91" w:rsidRPr="001C1B91">
              <w:rPr>
                <w:rFonts w:ascii="Century Gothic" w:eastAsia="Times New Roman" w:hAnsi="Century Gothic" w:cs="Arial"/>
                <w:color w:val="595959" w:themeColor="text1" w:themeTint="A6"/>
                <w:szCs w:val="20"/>
              </w:rPr>
              <w:t xml:space="preserve"> de las empresas de las i provincias.</w:t>
            </w:r>
          </w:p>
        </w:tc>
      </w:tr>
      <w:tr w:rsidR="001C1B91" w:rsidRPr="000D0CBC" w14:paraId="0C0E6515" w14:textId="77777777" w:rsidTr="00595069">
        <w:trPr>
          <w:trHeight w:val="793"/>
          <w:jc w:val="center"/>
        </w:trPr>
        <w:tc>
          <w:tcPr>
            <w:tcW w:w="2168" w:type="dxa"/>
            <w:shd w:val="clear" w:color="000000" w:fill="FFFFFF"/>
            <w:vAlign w:val="center"/>
          </w:tcPr>
          <w:p w14:paraId="6864F2FB"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Porcentaje de ventas totales que las empresas realizan según la actividad económica a un dígito de la CIIU Rev. 4.0 (Sección) a nivel nacional.</w:t>
            </w:r>
          </w:p>
          <w:p w14:paraId="03CA6AEB" w14:textId="77777777" w:rsidR="001C1B91" w:rsidRPr="001C1B91" w:rsidRDefault="001C1B91" w:rsidP="00C455A9">
            <w:pPr>
              <w:jc w:val="center"/>
              <w:rPr>
                <w:rFonts w:ascii="Cambria Math" w:hAnsi="Cambria Math"/>
                <w:color w:val="595959" w:themeColor="text1" w:themeTint="A6"/>
                <w:sz w:val="20"/>
                <w:szCs w:val="20"/>
                <w:lang w:val="es-ES"/>
              </w:rPr>
            </w:pPr>
            <w:r w:rsidRPr="001C1B91">
              <w:rPr>
                <w:rFonts w:ascii="Cambria Math" w:eastAsia="Times New Roman" w:hAnsi="Cambria Math" w:cs="Arial"/>
                <w:b/>
                <w:i/>
                <w:color w:val="595959" w:themeColor="text1" w:themeTint="A6"/>
                <w:sz w:val="20"/>
                <w:szCs w:val="20"/>
                <w:lang w:val="it-IT"/>
              </w:rPr>
              <w:t>PVTESAE</w:t>
            </w:r>
          </w:p>
        </w:tc>
        <w:tc>
          <w:tcPr>
            <w:tcW w:w="2493" w:type="dxa"/>
            <w:shd w:val="clear" w:color="000000" w:fill="FFFFFF"/>
            <w:noWrap/>
            <w:vAlign w:val="center"/>
          </w:tcPr>
          <w:p w14:paraId="077463C9" w14:textId="77777777" w:rsidR="001C1B91" w:rsidRPr="001C1B91" w:rsidRDefault="001C1B91" w:rsidP="00C455A9">
            <w:pPr>
              <w:rPr>
                <w:rFonts w:ascii="Century Gothic" w:hAnsi="Century Gothic"/>
                <w:color w:val="595959" w:themeColor="text1" w:themeTint="A6"/>
                <w:sz w:val="20"/>
                <w:szCs w:val="20"/>
                <w:lang w:val="es-ES"/>
              </w:rPr>
            </w:pPr>
            <w:r w:rsidRPr="001C1B91">
              <w:rPr>
                <w:rFonts w:ascii="Century Gothic" w:hAnsi="Century Gothic"/>
                <w:color w:val="595959" w:themeColor="text1" w:themeTint="A6"/>
                <w:sz w:val="20"/>
                <w:szCs w:val="20"/>
              </w:rPr>
              <w:t>Mide el porcentaje de las ventas totales anuales efectuadas por las empresas según la sección de la CIIU Rev. 4.0, a nivel nacional.</w:t>
            </w:r>
          </w:p>
        </w:tc>
        <w:tc>
          <w:tcPr>
            <w:tcW w:w="2268" w:type="dxa"/>
            <w:shd w:val="clear" w:color="000000" w:fill="FFFFFF"/>
            <w:vAlign w:val="center"/>
          </w:tcPr>
          <w:p w14:paraId="1724C228"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Ventas totales</w:t>
            </w:r>
          </w:p>
          <w:p w14:paraId="78392B7B"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Ventas nacionales</w:t>
            </w:r>
          </w:p>
          <w:p w14:paraId="4445FB4E"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Exportaciones netas</w:t>
            </w:r>
          </w:p>
          <w:p w14:paraId="4BC6AF49"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CIIU rev. (1 dígito) – sección</w:t>
            </w:r>
          </w:p>
          <w:p w14:paraId="203F5618" w14:textId="77777777" w:rsidR="001C1B91" w:rsidRPr="001C1B91" w:rsidRDefault="001C1B91" w:rsidP="00C455A9">
            <w:pPr>
              <w:pStyle w:val="Prrafodelista"/>
              <w:ind w:left="360"/>
              <w:jc w:val="left"/>
              <w:rPr>
                <w:rFonts w:ascii="Century Gothic" w:hAnsi="Century Gothic"/>
                <w:color w:val="595959" w:themeColor="text1" w:themeTint="A6"/>
                <w:szCs w:val="20"/>
                <w:lang w:val="es-ES"/>
              </w:rPr>
            </w:pPr>
          </w:p>
        </w:tc>
        <w:tc>
          <w:tcPr>
            <w:tcW w:w="2933" w:type="dxa"/>
            <w:shd w:val="clear" w:color="000000" w:fill="FFFFFF"/>
            <w:vAlign w:val="center"/>
          </w:tcPr>
          <w:p w14:paraId="38D690A4" w14:textId="77777777" w:rsidR="001C1B91" w:rsidRPr="001C1B91" w:rsidRDefault="001C1B91" w:rsidP="00C455A9">
            <w:pPr>
              <w:pStyle w:val="Prrafodelista"/>
              <w:ind w:left="0"/>
              <w:jc w:val="center"/>
              <w:rPr>
                <w:rFonts w:ascii="Cambria Math" w:eastAsia="Times New Roman" w:hAnsi="Cambria Math" w:cs="Arial"/>
                <w:color w:val="595959" w:themeColor="text1" w:themeTint="A6"/>
                <w:szCs w:val="20"/>
                <w:lang w:val="it-IT"/>
              </w:rPr>
            </w:pPr>
            <w:r w:rsidRPr="001C1B91">
              <w:rPr>
                <w:rFonts w:ascii="Cambria Math" w:eastAsia="Times New Roman" w:hAnsi="Cambria Math" w:cs="Arial"/>
                <w:b/>
                <w:i/>
                <w:color w:val="595959" w:themeColor="text1" w:themeTint="A6"/>
                <w:szCs w:val="20"/>
                <w:lang w:val="it-IT"/>
              </w:rPr>
              <w:t>PVTESAE(t)</w:t>
            </w:r>
            <w:r w:rsidRPr="001C1B91">
              <w:rPr>
                <w:rFonts w:ascii="Cambria Math" w:eastAsia="Times New Roman" w:hAnsi="Cambria Math" w:cs="Arial"/>
                <w:color w:val="595959" w:themeColor="text1" w:themeTint="A6"/>
                <w:szCs w:val="20"/>
                <w:lang w:val="it-IT"/>
              </w:rPr>
              <w:t xml:space="preserve"> =  </w:t>
            </w:r>
            <m:oMath>
              <m:f>
                <m:fPr>
                  <m:ctrlPr>
                    <w:rPr>
                      <w:rFonts w:ascii="Cambria Math" w:eastAsia="Times New Roman" w:hAnsi="Cambria Math" w:cs="Arial"/>
                      <w:color w:val="595959" w:themeColor="text1" w:themeTint="A6"/>
                      <w:szCs w:val="20"/>
                    </w:rPr>
                  </m:ctrlPr>
                </m:fPr>
                <m:num>
                  <m:nary>
                    <m:naryPr>
                      <m:chr m:val="∑"/>
                      <m:limLoc m:val="undOvr"/>
                      <m:ctrlPr>
                        <w:rPr>
                          <w:rFonts w:ascii="Cambria Math" w:eastAsia="Times New Roman" w:hAnsi="Cambria Math" w:cs="Arial"/>
                          <w:color w:val="595959" w:themeColor="text1" w:themeTint="A6"/>
                          <w:szCs w:val="20"/>
                        </w:rPr>
                      </m:ctrlPr>
                    </m:naryPr>
                    <m:sub>
                      <m:r>
                        <m:rPr>
                          <m:sty m:val="bi"/>
                        </m:rPr>
                        <w:rPr>
                          <w:rFonts w:ascii="Cambria Math" w:eastAsia="Times New Roman" w:hAnsi="Cambria Math" w:cs="Arial"/>
                          <w:color w:val="595959" w:themeColor="text1" w:themeTint="A6"/>
                          <w:szCs w:val="20"/>
                        </w:rPr>
                        <m:t>i</m:t>
                      </m:r>
                      <m:r>
                        <m:rPr>
                          <m:sty m:val="p"/>
                        </m:rPr>
                        <w:rPr>
                          <w:rFonts w:ascii="Cambria Math" w:eastAsia="Times New Roman" w:hAnsi="Cambria Math" w:cs="Arial"/>
                          <w:color w:val="595959" w:themeColor="text1" w:themeTint="A6"/>
                          <w:szCs w:val="20"/>
                          <w:lang w:val="it-IT"/>
                        </w:rPr>
                        <m:t>=</m:t>
                      </m:r>
                      <m:r>
                        <m:rPr>
                          <m:sty m:val="b"/>
                        </m:rPr>
                        <w:rPr>
                          <w:rFonts w:ascii="Cambria Math" w:eastAsia="Times New Roman" w:hAnsi="Cambria Math" w:cs="Arial"/>
                          <w:color w:val="595959" w:themeColor="text1" w:themeTint="A6"/>
                          <w:szCs w:val="20"/>
                        </w:rPr>
                        <m:t>1</m:t>
                      </m:r>
                    </m:sub>
                    <m:sup/>
                    <m:e>
                      <m:sSub>
                        <m:sSubPr>
                          <m:ctrlPr>
                            <w:rPr>
                              <w:rFonts w:ascii="Cambria Math" w:eastAsia="Times New Roman" w:hAnsi="Cambria Math" w:cs="Arial"/>
                              <w:color w:val="595959" w:themeColor="text1" w:themeTint="A6"/>
                              <w:szCs w:val="20"/>
                            </w:rPr>
                          </m:ctrlPr>
                        </m:sSubPr>
                        <m:e>
                          <m:r>
                            <m:rPr>
                              <m:sty m:val="bi"/>
                            </m:rPr>
                            <w:rPr>
                              <w:rFonts w:ascii="Cambria Math" w:eastAsia="Times New Roman" w:hAnsi="Cambria Math" w:cs="Arial"/>
                              <w:color w:val="595959" w:themeColor="text1" w:themeTint="A6"/>
                              <w:szCs w:val="20"/>
                            </w:rPr>
                            <m:t>Ventas</m:t>
                          </m:r>
                          <m:r>
                            <m:rPr>
                              <m:sty m:val="bi"/>
                            </m:rPr>
                            <w:rPr>
                              <w:rFonts w:ascii="Cambria Math" w:eastAsia="Times New Roman" w:hAnsi="Cambria Math" w:cs="Arial"/>
                              <w:color w:val="595959" w:themeColor="text1" w:themeTint="A6"/>
                              <w:szCs w:val="20"/>
                              <w:lang w:val="it-IT"/>
                            </w:rPr>
                            <m:t xml:space="preserve"> </m:t>
                          </m:r>
                          <m:r>
                            <m:rPr>
                              <m:sty m:val="bi"/>
                            </m:rPr>
                            <w:rPr>
                              <w:rFonts w:ascii="Cambria Math" w:eastAsia="Times New Roman" w:hAnsi="Cambria Math" w:cs="Arial"/>
                              <w:color w:val="595959" w:themeColor="text1" w:themeTint="A6"/>
                              <w:szCs w:val="20"/>
                            </w:rPr>
                            <m:t>totales</m:t>
                          </m:r>
                        </m:e>
                        <m:sub>
                          <m:r>
                            <m:rPr>
                              <m:sty m:val="bi"/>
                            </m:rPr>
                            <w:rPr>
                              <w:rFonts w:ascii="Cambria Math" w:eastAsia="Times New Roman" w:hAnsi="Cambria Math" w:cs="Arial"/>
                              <w:color w:val="595959" w:themeColor="text1" w:themeTint="A6"/>
                              <w:szCs w:val="20"/>
                            </w:rPr>
                            <m:t>i</m:t>
                          </m:r>
                        </m:sub>
                      </m:sSub>
                    </m:e>
                  </m:nary>
                </m:num>
                <m:den>
                  <m:nary>
                    <m:naryPr>
                      <m:chr m:val="∑"/>
                      <m:ctrlPr>
                        <w:rPr>
                          <w:rFonts w:ascii="Cambria Math" w:eastAsia="Times New Roman" w:hAnsi="Cambria Math" w:cs="Arial"/>
                          <w:color w:val="595959" w:themeColor="text1" w:themeTint="A6"/>
                          <w:szCs w:val="20"/>
                        </w:rPr>
                      </m:ctrlPr>
                    </m:naryPr>
                    <m:sub>
                      <m:r>
                        <m:rPr>
                          <m:sty m:val="bi"/>
                        </m:rPr>
                        <w:rPr>
                          <w:rFonts w:ascii="Cambria Math" w:eastAsia="Times New Roman" w:hAnsi="Cambria Math" w:cs="Arial"/>
                          <w:color w:val="595959" w:themeColor="text1" w:themeTint="A6"/>
                          <w:szCs w:val="20"/>
                        </w:rPr>
                        <m:t>i</m:t>
                      </m:r>
                      <m:r>
                        <m:rPr>
                          <m:sty m:val="p"/>
                        </m:rPr>
                        <w:rPr>
                          <w:rFonts w:ascii="Cambria Math" w:eastAsia="Times New Roman" w:hAnsi="Cambria Math" w:cs="Arial"/>
                          <w:color w:val="595959" w:themeColor="text1" w:themeTint="A6"/>
                          <w:szCs w:val="20"/>
                          <w:lang w:val="it-IT"/>
                        </w:rPr>
                        <m:t>=</m:t>
                      </m:r>
                      <m:r>
                        <m:rPr>
                          <m:sty m:val="b"/>
                        </m:rPr>
                        <w:rPr>
                          <w:rFonts w:ascii="Cambria Math" w:eastAsia="Times New Roman" w:hAnsi="Cambria Math" w:cs="Arial"/>
                          <w:color w:val="595959" w:themeColor="text1" w:themeTint="A6"/>
                          <w:szCs w:val="20"/>
                        </w:rPr>
                        <m:t>1</m:t>
                      </m:r>
                    </m:sub>
                    <m:sup>
                      <m:r>
                        <m:rPr>
                          <m:sty m:val="b"/>
                        </m:rPr>
                        <w:rPr>
                          <w:rFonts w:ascii="Cambria Math" w:eastAsia="Times New Roman" w:hAnsi="Cambria Math" w:cs="Arial"/>
                          <w:color w:val="595959" w:themeColor="text1" w:themeTint="A6"/>
                          <w:szCs w:val="20"/>
                        </w:rPr>
                        <m:t>19</m:t>
                      </m:r>
                    </m:sup>
                    <m:e>
                      <m:sSub>
                        <m:sSubPr>
                          <m:ctrlPr>
                            <w:rPr>
                              <w:rFonts w:ascii="Cambria Math" w:eastAsia="Times New Roman" w:hAnsi="Cambria Math" w:cs="Arial"/>
                              <w:color w:val="595959" w:themeColor="text1" w:themeTint="A6"/>
                              <w:szCs w:val="20"/>
                            </w:rPr>
                          </m:ctrlPr>
                        </m:sSubPr>
                        <m:e>
                          <m:r>
                            <m:rPr>
                              <m:sty m:val="bi"/>
                            </m:rPr>
                            <w:rPr>
                              <w:rFonts w:ascii="Cambria Math" w:eastAsia="Times New Roman" w:hAnsi="Cambria Math" w:cs="Arial"/>
                              <w:color w:val="595959" w:themeColor="text1" w:themeTint="A6"/>
                              <w:szCs w:val="20"/>
                            </w:rPr>
                            <m:t>Ventas</m:t>
                          </m:r>
                          <m:r>
                            <m:rPr>
                              <m:sty m:val="p"/>
                            </m:rPr>
                            <w:rPr>
                              <w:rFonts w:ascii="Cambria Math" w:eastAsia="Times New Roman" w:hAnsi="Cambria Math" w:cs="Arial"/>
                              <w:color w:val="595959" w:themeColor="text1" w:themeTint="A6"/>
                              <w:szCs w:val="20"/>
                              <w:lang w:val="it-IT"/>
                            </w:rPr>
                            <m:t xml:space="preserve"> </m:t>
                          </m:r>
                          <m:r>
                            <m:rPr>
                              <m:sty m:val="bi"/>
                            </m:rPr>
                            <w:rPr>
                              <w:rFonts w:ascii="Cambria Math" w:eastAsia="Times New Roman" w:hAnsi="Cambria Math" w:cs="Arial"/>
                              <w:color w:val="595959" w:themeColor="text1" w:themeTint="A6"/>
                              <w:szCs w:val="20"/>
                            </w:rPr>
                            <m:t>totales</m:t>
                          </m:r>
                        </m:e>
                        <m:sub>
                          <m:r>
                            <m:rPr>
                              <m:sty m:val="bi"/>
                            </m:rPr>
                            <w:rPr>
                              <w:rFonts w:ascii="Cambria Math" w:eastAsia="Times New Roman" w:hAnsi="Cambria Math" w:cs="Arial"/>
                              <w:color w:val="595959" w:themeColor="text1" w:themeTint="A6"/>
                              <w:szCs w:val="20"/>
                            </w:rPr>
                            <m:t>i</m:t>
                          </m:r>
                        </m:sub>
                      </m:sSub>
                    </m:e>
                  </m:nary>
                </m:den>
              </m:f>
            </m:oMath>
          </w:p>
          <w:p w14:paraId="1A77A6B7" w14:textId="77777777" w:rsidR="001C1B91" w:rsidRPr="001C1B91" w:rsidRDefault="001C1B91" w:rsidP="00C455A9">
            <w:pPr>
              <w:pStyle w:val="Prrafodelista"/>
              <w:ind w:left="0"/>
              <w:rPr>
                <w:rFonts w:asciiTheme="minorHAnsi" w:eastAsia="Times New Roman" w:hAnsiTheme="minorHAnsi" w:cs="Arial"/>
                <w:color w:val="595959" w:themeColor="text1" w:themeTint="A6"/>
                <w:szCs w:val="20"/>
                <w:lang w:val="it-IT"/>
              </w:rPr>
            </w:pPr>
          </w:p>
          <w:p w14:paraId="7B438ABA"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color w:val="595959" w:themeColor="text1" w:themeTint="A6"/>
                <w:szCs w:val="20"/>
              </w:rPr>
              <w:t>En donde:</w:t>
            </w:r>
          </w:p>
          <w:p w14:paraId="692DF003"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p>
          <w:p w14:paraId="225D9967"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PVTESAE</w:t>
            </w:r>
            <w:r w:rsidRPr="001C1B91">
              <w:rPr>
                <w:rFonts w:ascii="Century Gothic" w:eastAsia="Times New Roman" w:hAnsi="Century Gothic" w:cs="Arial"/>
                <w:color w:val="595959" w:themeColor="text1" w:themeTint="A6"/>
                <w:szCs w:val="20"/>
              </w:rPr>
              <w:t>: Porcentaje de ventas totales que las empresas realizan según la actividad económica a un dígito de la CIIU Rev. 4.0 (Sección) a nivel nacional.</w:t>
            </w:r>
          </w:p>
          <w:p w14:paraId="628E8831"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t</w:t>
            </w:r>
            <w:r w:rsidRPr="001C1B91">
              <w:rPr>
                <w:rFonts w:ascii="Century Gothic" w:eastAsia="Times New Roman" w:hAnsi="Century Gothic" w:cs="Arial"/>
                <w:color w:val="595959" w:themeColor="text1" w:themeTint="A6"/>
                <w:szCs w:val="20"/>
              </w:rPr>
              <w:t>: Año de referencia.</w:t>
            </w:r>
          </w:p>
          <w:p w14:paraId="076D9F18" w14:textId="77777777" w:rsidR="001C1B91" w:rsidRPr="001C1B91" w:rsidRDefault="007D4D27" w:rsidP="00C455A9">
            <w:pPr>
              <w:pStyle w:val="Prrafodelista"/>
              <w:ind w:left="0"/>
              <w:rPr>
                <w:rFonts w:ascii="Century Gothic" w:eastAsia="Times New Roman" w:hAnsi="Century Gothic" w:cs="Arial"/>
                <w:color w:val="595959" w:themeColor="text1" w:themeTint="A6"/>
                <w:szCs w:val="20"/>
              </w:rPr>
            </w:pPr>
            <m:oMath>
              <m:nary>
                <m:naryPr>
                  <m:chr m:val="∑"/>
                  <m:ctrlPr>
                    <w:rPr>
                      <w:rFonts w:ascii="Cambria Math" w:eastAsia="Times New Roman" w:hAnsi="Cambria Math" w:cs="Arial"/>
                      <w:b/>
                      <w:color w:val="595959" w:themeColor="text1" w:themeTint="A6"/>
                      <w:szCs w:val="20"/>
                    </w:rPr>
                  </m:ctrlPr>
                </m:naryPr>
                <m:sub>
                  <m:r>
                    <m:rPr>
                      <m:sty m:val="b"/>
                    </m:rPr>
                    <w:rPr>
                      <w:rFonts w:ascii="Cambria Math" w:eastAsia="Times New Roman" w:hAnsi="Cambria Math" w:cs="Arial"/>
                      <w:color w:val="595959" w:themeColor="text1" w:themeTint="A6"/>
                      <w:szCs w:val="20"/>
                    </w:rPr>
                    <m:t>i=1</m:t>
                  </m:r>
                </m:sub>
                <m:sup/>
                <m:e>
                  <m:sSub>
                    <m:sSubPr>
                      <m:ctrlPr>
                        <w:rPr>
                          <w:rFonts w:ascii="Cambria Math" w:eastAsia="Times New Roman" w:hAnsi="Cambria Math" w:cs="Arial"/>
                          <w:b/>
                          <w:color w:val="595959" w:themeColor="text1" w:themeTint="A6"/>
                          <w:szCs w:val="20"/>
                        </w:rPr>
                      </m:ctrlPr>
                    </m:sSubPr>
                    <m:e>
                      <m:r>
                        <m:rPr>
                          <m:sty m:val="b"/>
                        </m:rPr>
                        <w:rPr>
                          <w:rFonts w:ascii="Cambria Math" w:eastAsia="Times New Roman" w:hAnsi="Cambria Math" w:cs="Arial"/>
                          <w:color w:val="595959" w:themeColor="text1" w:themeTint="A6"/>
                          <w:szCs w:val="20"/>
                        </w:rPr>
                        <m:t>Ventas totales</m:t>
                      </m:r>
                    </m:e>
                    <m:sub>
                      <m:r>
                        <m:rPr>
                          <m:sty m:val="b"/>
                        </m:rPr>
                        <w:rPr>
                          <w:rFonts w:ascii="Cambria Math" w:eastAsia="Times New Roman" w:hAnsi="Cambria Math" w:cs="Arial"/>
                          <w:color w:val="595959" w:themeColor="text1" w:themeTint="A6"/>
                          <w:szCs w:val="20"/>
                        </w:rPr>
                        <m:t>i</m:t>
                      </m:r>
                    </m:sub>
                  </m:sSub>
                </m:e>
              </m:nary>
            </m:oMath>
            <w:r w:rsidR="001C1B91" w:rsidRPr="001C1B91">
              <w:rPr>
                <w:rFonts w:ascii="Century Gothic" w:eastAsia="Times New Roman" w:hAnsi="Century Gothic" w:cs="Arial"/>
                <w:color w:val="595959" w:themeColor="text1" w:themeTint="A6"/>
                <w:szCs w:val="20"/>
              </w:rPr>
              <w:t>: Sumatoria de las ventas totales de las empresas según la actividad económica i, a un dígito de la CIIU Rev. 4.0.</w:t>
            </w:r>
          </w:p>
          <w:p w14:paraId="42352662" w14:textId="0657CD53" w:rsidR="001C1B91" w:rsidRPr="001C1B91" w:rsidRDefault="007D4D27" w:rsidP="001C1B91">
            <w:pPr>
              <w:spacing w:line="360" w:lineRule="auto"/>
              <w:rPr>
                <w:rFonts w:ascii="Century Gothic" w:eastAsia="Times New Roman" w:hAnsi="Century Gothic" w:cs="Arial"/>
                <w:color w:val="595959" w:themeColor="text1" w:themeTint="A6"/>
                <w:sz w:val="20"/>
                <w:szCs w:val="20"/>
              </w:rPr>
            </w:pPr>
            <m:oMath>
              <m:nary>
                <m:naryPr>
                  <m:chr m:val="∑"/>
                  <m:ctrlPr>
                    <w:rPr>
                      <w:rFonts w:ascii="Cambria Math" w:eastAsia="Times New Roman" w:hAnsi="Cambria Math" w:cs="Arial"/>
                      <w:b/>
                      <w:color w:val="595959" w:themeColor="text1" w:themeTint="A6"/>
                      <w:sz w:val="20"/>
                      <w:szCs w:val="20"/>
                    </w:rPr>
                  </m:ctrlPr>
                </m:naryPr>
                <m:sub>
                  <m:r>
                    <m:rPr>
                      <m:sty m:val="b"/>
                    </m:rPr>
                    <w:rPr>
                      <w:rFonts w:ascii="Cambria Math" w:eastAsia="Times New Roman" w:hAnsi="Cambria Math" w:cs="Arial"/>
                      <w:color w:val="595959" w:themeColor="text1" w:themeTint="A6"/>
                      <w:sz w:val="20"/>
                      <w:szCs w:val="20"/>
                    </w:rPr>
                    <m:t>i=1</m:t>
                  </m:r>
                </m:sub>
                <m:sup>
                  <m:r>
                    <m:rPr>
                      <m:sty m:val="b"/>
                    </m:rPr>
                    <w:rPr>
                      <w:rFonts w:ascii="Cambria Math" w:eastAsia="Times New Roman" w:hAnsi="Cambria Math" w:cs="Arial"/>
                      <w:color w:val="595959" w:themeColor="text1" w:themeTint="A6"/>
                      <w:sz w:val="20"/>
                      <w:szCs w:val="20"/>
                    </w:rPr>
                    <m:t>19</m:t>
                  </m:r>
                </m:sup>
                <m:e>
                  <m:sSub>
                    <m:sSubPr>
                      <m:ctrlPr>
                        <w:rPr>
                          <w:rFonts w:ascii="Cambria Math" w:eastAsia="Times New Roman" w:hAnsi="Cambria Math" w:cs="Arial"/>
                          <w:b/>
                          <w:color w:val="595959" w:themeColor="text1" w:themeTint="A6"/>
                          <w:sz w:val="20"/>
                          <w:szCs w:val="20"/>
                        </w:rPr>
                      </m:ctrlPr>
                    </m:sSubPr>
                    <m:e>
                      <m:r>
                        <m:rPr>
                          <m:sty m:val="b"/>
                        </m:rPr>
                        <w:rPr>
                          <w:rFonts w:ascii="Cambria Math" w:eastAsia="Times New Roman" w:hAnsi="Cambria Math" w:cs="Arial"/>
                          <w:color w:val="595959" w:themeColor="text1" w:themeTint="A6"/>
                          <w:sz w:val="20"/>
                          <w:szCs w:val="20"/>
                        </w:rPr>
                        <m:t>Ventas totales</m:t>
                      </m:r>
                    </m:e>
                    <m:sub>
                      <m:r>
                        <m:rPr>
                          <m:sty m:val="b"/>
                        </m:rPr>
                        <w:rPr>
                          <w:rFonts w:ascii="Cambria Math" w:eastAsia="Times New Roman" w:hAnsi="Cambria Math" w:cs="Arial"/>
                          <w:color w:val="595959" w:themeColor="text1" w:themeTint="A6"/>
                          <w:sz w:val="20"/>
                          <w:szCs w:val="20"/>
                        </w:rPr>
                        <m:t>i</m:t>
                      </m:r>
                    </m:sub>
                  </m:sSub>
                </m:e>
              </m:nary>
            </m:oMath>
            <w:r w:rsidR="001C1B91" w:rsidRPr="001C1B91">
              <w:rPr>
                <w:rFonts w:ascii="Century Gothic" w:eastAsia="Times New Roman" w:hAnsi="Century Gothic" w:cs="Arial"/>
                <w:color w:val="595959" w:themeColor="text1" w:themeTint="A6"/>
                <w:sz w:val="20"/>
                <w:szCs w:val="20"/>
              </w:rPr>
              <w:t>: Sumatoria de las ventas totales de las empresas que se clasifican en las 19 secciones de la CIIU Rev. 4.0.</w:t>
            </w:r>
          </w:p>
        </w:tc>
      </w:tr>
      <w:tr w:rsidR="001C1B91" w:rsidRPr="000D0CBC" w14:paraId="30658472" w14:textId="77777777" w:rsidTr="001C1B91">
        <w:trPr>
          <w:trHeight w:val="1925"/>
          <w:jc w:val="center"/>
        </w:trPr>
        <w:tc>
          <w:tcPr>
            <w:tcW w:w="2168" w:type="dxa"/>
            <w:shd w:val="clear" w:color="000000" w:fill="FFFFFF"/>
            <w:vAlign w:val="center"/>
          </w:tcPr>
          <w:p w14:paraId="1F488430" w14:textId="77777777" w:rsidR="001C1B91" w:rsidRPr="001C1B91" w:rsidRDefault="001C1B91" w:rsidP="00C455A9">
            <w:pPr>
              <w:jc w:val="center"/>
              <w:rPr>
                <w:rFonts w:ascii="Century Gothic" w:hAnsi="Century Gothic"/>
                <w:color w:val="595959" w:themeColor="text1" w:themeTint="A6"/>
                <w:sz w:val="20"/>
                <w:szCs w:val="20"/>
              </w:rPr>
            </w:pPr>
            <w:r w:rsidRPr="001C1B91">
              <w:rPr>
                <w:rFonts w:ascii="Century Gothic" w:hAnsi="Century Gothic"/>
                <w:color w:val="595959" w:themeColor="text1" w:themeTint="A6"/>
                <w:sz w:val="20"/>
                <w:szCs w:val="20"/>
              </w:rPr>
              <w:t>Porcentaje de ventas totales de las empresas que realizan por provincia.</w:t>
            </w:r>
          </w:p>
          <w:p w14:paraId="3C03E9B3" w14:textId="77777777" w:rsidR="001C1B91" w:rsidRPr="001C1B91" w:rsidRDefault="001C1B91" w:rsidP="00C455A9">
            <w:pPr>
              <w:jc w:val="center"/>
              <w:rPr>
                <w:rFonts w:ascii="Century Gothic" w:hAnsi="Century Gothic"/>
                <w:color w:val="595959" w:themeColor="text1" w:themeTint="A6"/>
                <w:sz w:val="20"/>
                <w:szCs w:val="20"/>
                <w:lang w:val="es-ES"/>
              </w:rPr>
            </w:pPr>
            <w:r w:rsidRPr="001C1B91">
              <w:rPr>
                <w:rFonts w:ascii="Cambria Math" w:eastAsia="Times New Roman" w:hAnsi="Cambria Math" w:cs="Arial"/>
                <w:b/>
                <w:i/>
                <w:color w:val="595959" w:themeColor="text1" w:themeTint="A6"/>
                <w:sz w:val="20"/>
                <w:szCs w:val="20"/>
                <w:lang w:val="en-US"/>
              </w:rPr>
              <w:t>PVTESP</w:t>
            </w:r>
          </w:p>
        </w:tc>
        <w:tc>
          <w:tcPr>
            <w:tcW w:w="2493" w:type="dxa"/>
            <w:shd w:val="clear" w:color="000000" w:fill="FFFFFF"/>
            <w:noWrap/>
            <w:vAlign w:val="center"/>
          </w:tcPr>
          <w:p w14:paraId="7D293DB5" w14:textId="77777777" w:rsidR="001C1B91" w:rsidRPr="001C1B91" w:rsidRDefault="001C1B91" w:rsidP="00C455A9">
            <w:pPr>
              <w:rPr>
                <w:rFonts w:ascii="Century Gothic" w:hAnsi="Century Gothic"/>
                <w:color w:val="595959" w:themeColor="text1" w:themeTint="A6"/>
                <w:sz w:val="20"/>
                <w:szCs w:val="20"/>
                <w:lang w:val="es-ES"/>
              </w:rPr>
            </w:pPr>
            <w:r w:rsidRPr="001C1B91">
              <w:rPr>
                <w:rFonts w:ascii="Century Gothic" w:hAnsi="Century Gothic"/>
                <w:color w:val="595959" w:themeColor="text1" w:themeTint="A6"/>
                <w:sz w:val="20"/>
                <w:szCs w:val="20"/>
                <w:lang w:val="es-ES"/>
              </w:rPr>
              <w:t>Mide</w:t>
            </w:r>
            <w:r w:rsidRPr="001C1B91">
              <w:rPr>
                <w:rFonts w:ascii="Century Gothic" w:hAnsi="Century Gothic"/>
                <w:color w:val="595959" w:themeColor="text1" w:themeTint="A6"/>
                <w:sz w:val="20"/>
                <w:szCs w:val="20"/>
              </w:rPr>
              <w:t xml:space="preserve"> el porcentaje de las ventas totales, nacionales o exportación que las empresas realizan según la provincia.</w:t>
            </w:r>
          </w:p>
        </w:tc>
        <w:tc>
          <w:tcPr>
            <w:tcW w:w="2268" w:type="dxa"/>
            <w:shd w:val="clear" w:color="000000" w:fill="FFFFFF"/>
            <w:vAlign w:val="center"/>
          </w:tcPr>
          <w:p w14:paraId="3231461C"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Ventas totales</w:t>
            </w:r>
          </w:p>
          <w:p w14:paraId="275B75AB"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Ventas nacionales</w:t>
            </w:r>
          </w:p>
          <w:p w14:paraId="7ABDDE42"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Exportaciones netas</w:t>
            </w:r>
          </w:p>
          <w:p w14:paraId="61049292" w14:textId="77777777" w:rsidR="001C1B91" w:rsidRPr="001C1B91" w:rsidRDefault="001C1B91" w:rsidP="001C1B91">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Provincia</w:t>
            </w:r>
          </w:p>
        </w:tc>
        <w:tc>
          <w:tcPr>
            <w:tcW w:w="2933" w:type="dxa"/>
            <w:shd w:val="clear" w:color="000000" w:fill="FFFFFF"/>
            <w:vAlign w:val="center"/>
          </w:tcPr>
          <w:p w14:paraId="0777C9FA" w14:textId="77777777" w:rsidR="001C1B91" w:rsidRPr="001C1B91" w:rsidRDefault="001C1B91" w:rsidP="00C455A9">
            <w:pPr>
              <w:pStyle w:val="Prrafodelista"/>
              <w:ind w:left="0"/>
              <w:jc w:val="center"/>
              <w:rPr>
                <w:rFonts w:ascii="Cambria Math" w:eastAsia="Times New Roman" w:hAnsi="Cambria Math" w:cs="Arial"/>
                <w:i/>
                <w:color w:val="595959" w:themeColor="text1" w:themeTint="A6"/>
                <w:szCs w:val="20"/>
                <w:lang w:val="en-US"/>
              </w:rPr>
            </w:pPr>
            <w:r w:rsidRPr="001C1B91">
              <w:rPr>
                <w:rFonts w:ascii="Cambria Math" w:eastAsia="Times New Roman" w:hAnsi="Cambria Math" w:cs="Arial"/>
                <w:b/>
                <w:i/>
                <w:color w:val="595959" w:themeColor="text1" w:themeTint="A6"/>
                <w:szCs w:val="20"/>
                <w:lang w:val="en-US"/>
              </w:rPr>
              <w:t>PVTESP(t)</w:t>
            </w:r>
            <w:r w:rsidRPr="001C1B91">
              <w:rPr>
                <w:rFonts w:ascii="Cambria Math" w:eastAsia="Times New Roman" w:hAnsi="Cambria Math" w:cs="Arial"/>
                <w:i/>
                <w:color w:val="595959" w:themeColor="text1" w:themeTint="A6"/>
                <w:szCs w:val="20"/>
                <w:lang w:val="en-US"/>
              </w:rPr>
              <w:t xml:space="preserve"> =  </w:t>
            </w:r>
            <m:oMath>
              <m:f>
                <m:fPr>
                  <m:ctrlPr>
                    <w:rPr>
                      <w:rFonts w:ascii="Cambria Math" w:eastAsia="Times New Roman" w:hAnsi="Cambria Math" w:cs="Arial"/>
                      <w:i/>
                      <w:color w:val="595959" w:themeColor="text1" w:themeTint="A6"/>
                      <w:szCs w:val="20"/>
                    </w:rPr>
                  </m:ctrlPr>
                </m:fPr>
                <m:num>
                  <m:nary>
                    <m:naryPr>
                      <m:chr m:val="∑"/>
                      <m:limLoc m:val="undOvr"/>
                      <m:ctrlPr>
                        <w:rPr>
                          <w:rFonts w:ascii="Cambria Math" w:eastAsia="Times New Roman" w:hAnsi="Cambria Math" w:cs="Arial"/>
                          <w:i/>
                          <w:color w:val="595959" w:themeColor="text1" w:themeTint="A6"/>
                          <w:szCs w:val="20"/>
                        </w:rPr>
                      </m:ctrlPr>
                    </m:naryPr>
                    <m:sub>
                      <m:r>
                        <m:rPr>
                          <m:sty m:val="bi"/>
                        </m:rPr>
                        <w:rPr>
                          <w:rFonts w:ascii="Cambria Math" w:eastAsia="Times New Roman" w:hAnsi="Cambria Math" w:cs="Arial"/>
                          <w:color w:val="595959" w:themeColor="text1" w:themeTint="A6"/>
                          <w:szCs w:val="20"/>
                        </w:rPr>
                        <m:t>i</m:t>
                      </m:r>
                      <m:r>
                        <w:rPr>
                          <w:rFonts w:ascii="Cambria Math" w:eastAsia="Times New Roman" w:hAnsi="Cambria Math" w:cs="Arial"/>
                          <w:color w:val="595959" w:themeColor="text1" w:themeTint="A6"/>
                          <w:szCs w:val="20"/>
                          <w:lang w:val="en-US"/>
                        </w:rPr>
                        <m:t>=</m:t>
                      </m:r>
                      <m:r>
                        <m:rPr>
                          <m:sty m:val="bi"/>
                        </m:rPr>
                        <w:rPr>
                          <w:rFonts w:ascii="Cambria Math" w:eastAsia="Times New Roman" w:hAnsi="Cambria Math" w:cs="Arial"/>
                          <w:color w:val="595959" w:themeColor="text1" w:themeTint="A6"/>
                          <w:szCs w:val="20"/>
                        </w:rPr>
                        <m:t>1</m:t>
                      </m:r>
                    </m:sub>
                    <m:sup/>
                    <m:e>
                      <m:sSub>
                        <m:sSubPr>
                          <m:ctrlPr>
                            <w:rPr>
                              <w:rFonts w:ascii="Cambria Math" w:eastAsia="Times New Roman" w:hAnsi="Cambria Math" w:cs="Arial"/>
                              <w:i/>
                              <w:color w:val="595959" w:themeColor="text1" w:themeTint="A6"/>
                              <w:szCs w:val="20"/>
                            </w:rPr>
                          </m:ctrlPr>
                        </m:sSubPr>
                        <m:e>
                          <m:r>
                            <m:rPr>
                              <m:sty m:val="bi"/>
                            </m:rPr>
                            <w:rPr>
                              <w:rFonts w:ascii="Cambria Math" w:eastAsia="Times New Roman" w:hAnsi="Cambria Math" w:cs="Arial"/>
                              <w:color w:val="595959" w:themeColor="text1" w:themeTint="A6"/>
                              <w:szCs w:val="20"/>
                            </w:rPr>
                            <m:t>Ventas</m:t>
                          </m:r>
                          <m:r>
                            <m:rPr>
                              <m:sty m:val="bi"/>
                            </m:rPr>
                            <w:rPr>
                              <w:rFonts w:ascii="Cambria Math" w:eastAsia="Times New Roman" w:hAnsi="Cambria Math" w:cs="Arial"/>
                              <w:color w:val="595959" w:themeColor="text1" w:themeTint="A6"/>
                              <w:szCs w:val="20"/>
                              <w:lang w:val="en-US"/>
                            </w:rPr>
                            <m:t xml:space="preserve"> </m:t>
                          </m:r>
                          <m:r>
                            <m:rPr>
                              <m:sty m:val="bi"/>
                            </m:rPr>
                            <w:rPr>
                              <w:rFonts w:ascii="Cambria Math" w:eastAsia="Times New Roman" w:hAnsi="Cambria Math" w:cs="Arial"/>
                              <w:color w:val="595959" w:themeColor="text1" w:themeTint="A6"/>
                              <w:szCs w:val="20"/>
                            </w:rPr>
                            <m:t>totales</m:t>
                          </m:r>
                        </m:e>
                        <m:sub>
                          <m:r>
                            <m:rPr>
                              <m:sty m:val="bi"/>
                            </m:rPr>
                            <w:rPr>
                              <w:rFonts w:ascii="Cambria Math" w:eastAsia="Times New Roman" w:hAnsi="Cambria Math" w:cs="Arial"/>
                              <w:color w:val="595959" w:themeColor="text1" w:themeTint="A6"/>
                              <w:szCs w:val="20"/>
                            </w:rPr>
                            <m:t>i</m:t>
                          </m:r>
                        </m:sub>
                      </m:sSub>
                    </m:e>
                  </m:nary>
                </m:num>
                <m:den>
                  <m:nary>
                    <m:naryPr>
                      <m:chr m:val="∑"/>
                      <m:ctrlPr>
                        <w:rPr>
                          <w:rFonts w:ascii="Cambria Math" w:eastAsia="Times New Roman" w:hAnsi="Cambria Math" w:cs="Arial"/>
                          <w:i/>
                          <w:color w:val="595959" w:themeColor="text1" w:themeTint="A6"/>
                          <w:szCs w:val="20"/>
                        </w:rPr>
                      </m:ctrlPr>
                    </m:naryPr>
                    <m:sub>
                      <m:r>
                        <m:rPr>
                          <m:sty m:val="bi"/>
                        </m:rPr>
                        <w:rPr>
                          <w:rFonts w:ascii="Cambria Math" w:eastAsia="Times New Roman" w:hAnsi="Cambria Math" w:cs="Arial"/>
                          <w:color w:val="595959" w:themeColor="text1" w:themeTint="A6"/>
                          <w:szCs w:val="20"/>
                        </w:rPr>
                        <m:t>i</m:t>
                      </m:r>
                      <m:r>
                        <w:rPr>
                          <w:rFonts w:ascii="Cambria Math" w:eastAsia="Times New Roman" w:hAnsi="Cambria Math" w:cs="Arial"/>
                          <w:color w:val="595959" w:themeColor="text1" w:themeTint="A6"/>
                          <w:szCs w:val="20"/>
                          <w:lang w:val="en-US"/>
                        </w:rPr>
                        <m:t>=</m:t>
                      </m:r>
                      <m:r>
                        <m:rPr>
                          <m:sty m:val="bi"/>
                        </m:rPr>
                        <w:rPr>
                          <w:rFonts w:ascii="Cambria Math" w:eastAsia="Times New Roman" w:hAnsi="Cambria Math" w:cs="Arial"/>
                          <w:color w:val="595959" w:themeColor="text1" w:themeTint="A6"/>
                          <w:szCs w:val="20"/>
                        </w:rPr>
                        <m:t>1</m:t>
                      </m:r>
                    </m:sub>
                    <m:sup>
                      <m:r>
                        <m:rPr>
                          <m:sty m:val="bi"/>
                        </m:rPr>
                        <w:rPr>
                          <w:rFonts w:ascii="Cambria Math" w:eastAsia="Times New Roman" w:hAnsi="Cambria Math" w:cs="Arial"/>
                          <w:color w:val="595959" w:themeColor="text1" w:themeTint="A6"/>
                          <w:szCs w:val="20"/>
                        </w:rPr>
                        <m:t>24</m:t>
                      </m:r>
                    </m:sup>
                    <m:e>
                      <m:sSub>
                        <m:sSubPr>
                          <m:ctrlPr>
                            <w:rPr>
                              <w:rFonts w:ascii="Cambria Math" w:eastAsia="Times New Roman" w:hAnsi="Cambria Math" w:cs="Arial"/>
                              <w:i/>
                              <w:color w:val="595959" w:themeColor="text1" w:themeTint="A6"/>
                              <w:szCs w:val="20"/>
                            </w:rPr>
                          </m:ctrlPr>
                        </m:sSubPr>
                        <m:e>
                          <m:r>
                            <m:rPr>
                              <m:sty m:val="bi"/>
                            </m:rPr>
                            <w:rPr>
                              <w:rFonts w:ascii="Cambria Math" w:eastAsia="Times New Roman" w:hAnsi="Cambria Math" w:cs="Arial"/>
                              <w:color w:val="595959" w:themeColor="text1" w:themeTint="A6"/>
                              <w:szCs w:val="20"/>
                            </w:rPr>
                            <m:t>Ventas</m:t>
                          </m:r>
                          <m:r>
                            <w:rPr>
                              <w:rFonts w:ascii="Cambria Math" w:eastAsia="Times New Roman" w:hAnsi="Cambria Math" w:cs="Arial"/>
                              <w:color w:val="595959" w:themeColor="text1" w:themeTint="A6"/>
                              <w:szCs w:val="20"/>
                              <w:lang w:val="en-US"/>
                            </w:rPr>
                            <m:t xml:space="preserve"> </m:t>
                          </m:r>
                          <m:r>
                            <m:rPr>
                              <m:sty m:val="bi"/>
                            </m:rPr>
                            <w:rPr>
                              <w:rFonts w:ascii="Cambria Math" w:eastAsia="Times New Roman" w:hAnsi="Cambria Math" w:cs="Arial"/>
                              <w:color w:val="595959" w:themeColor="text1" w:themeTint="A6"/>
                              <w:szCs w:val="20"/>
                            </w:rPr>
                            <m:t>totales</m:t>
                          </m:r>
                        </m:e>
                        <m:sub>
                          <m:r>
                            <m:rPr>
                              <m:sty m:val="bi"/>
                            </m:rPr>
                            <w:rPr>
                              <w:rFonts w:ascii="Cambria Math" w:eastAsia="Times New Roman" w:hAnsi="Cambria Math" w:cs="Arial"/>
                              <w:color w:val="595959" w:themeColor="text1" w:themeTint="A6"/>
                              <w:szCs w:val="20"/>
                            </w:rPr>
                            <m:t>i</m:t>
                          </m:r>
                        </m:sub>
                      </m:sSub>
                    </m:e>
                  </m:nary>
                </m:den>
              </m:f>
            </m:oMath>
          </w:p>
          <w:p w14:paraId="198C349E" w14:textId="77777777" w:rsidR="001C1B91" w:rsidRPr="001C1B91" w:rsidRDefault="001C1B91" w:rsidP="00C455A9">
            <w:pPr>
              <w:pStyle w:val="Prrafodelista"/>
              <w:ind w:left="0"/>
              <w:rPr>
                <w:rFonts w:asciiTheme="minorHAnsi" w:eastAsia="Times New Roman" w:hAnsiTheme="minorHAnsi" w:cs="Arial"/>
                <w:color w:val="595959" w:themeColor="text1" w:themeTint="A6"/>
                <w:szCs w:val="20"/>
                <w:lang w:val="en-US"/>
              </w:rPr>
            </w:pPr>
          </w:p>
          <w:p w14:paraId="32CB5F1A"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color w:val="595959" w:themeColor="text1" w:themeTint="A6"/>
                <w:szCs w:val="20"/>
              </w:rPr>
              <w:t>En donde:</w:t>
            </w:r>
          </w:p>
          <w:p w14:paraId="3F0C29C8"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p>
          <w:p w14:paraId="50ABC67B"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PVTESP</w:t>
            </w:r>
            <w:r w:rsidRPr="001C1B91">
              <w:rPr>
                <w:rFonts w:ascii="Century Gothic" w:eastAsia="Times New Roman" w:hAnsi="Century Gothic" w:cs="Arial"/>
                <w:color w:val="595959" w:themeColor="text1" w:themeTint="A6"/>
                <w:szCs w:val="20"/>
              </w:rPr>
              <w:t>: Porcentaje de ventas totales que las empresas realizan según la provincia.</w:t>
            </w:r>
          </w:p>
          <w:p w14:paraId="7CE41CB8" w14:textId="77777777" w:rsidR="001C1B91" w:rsidRPr="001C1B91" w:rsidRDefault="001C1B91" w:rsidP="00C455A9">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b/>
                <w:color w:val="595959" w:themeColor="text1" w:themeTint="A6"/>
                <w:szCs w:val="20"/>
              </w:rPr>
              <w:t>t</w:t>
            </w:r>
            <w:r w:rsidRPr="001C1B91">
              <w:rPr>
                <w:rFonts w:ascii="Century Gothic" w:eastAsia="Times New Roman" w:hAnsi="Century Gothic" w:cs="Arial"/>
                <w:color w:val="595959" w:themeColor="text1" w:themeTint="A6"/>
                <w:szCs w:val="20"/>
              </w:rPr>
              <w:t>: Año de referencia.</w:t>
            </w:r>
          </w:p>
          <w:p w14:paraId="5861782E" w14:textId="77777777" w:rsidR="001C1B91" w:rsidRPr="001C1B91" w:rsidRDefault="007D4D27" w:rsidP="00C455A9">
            <w:pPr>
              <w:pStyle w:val="Prrafodelista"/>
              <w:ind w:left="0"/>
              <w:rPr>
                <w:rFonts w:ascii="Century Gothic" w:eastAsia="Times New Roman" w:hAnsi="Century Gothic" w:cs="Arial"/>
                <w:color w:val="595959" w:themeColor="text1" w:themeTint="A6"/>
                <w:szCs w:val="20"/>
              </w:rPr>
            </w:pPr>
            <m:oMath>
              <m:nary>
                <m:naryPr>
                  <m:chr m:val="∑"/>
                  <m:ctrlPr>
                    <w:rPr>
                      <w:rFonts w:ascii="Cambria Math" w:eastAsia="Times New Roman" w:hAnsi="Cambria Math" w:cs="Arial"/>
                      <w:b/>
                      <w:color w:val="595959" w:themeColor="text1" w:themeTint="A6"/>
                      <w:szCs w:val="20"/>
                    </w:rPr>
                  </m:ctrlPr>
                </m:naryPr>
                <m:sub>
                  <m:r>
                    <m:rPr>
                      <m:sty m:val="b"/>
                    </m:rPr>
                    <w:rPr>
                      <w:rFonts w:ascii="Cambria Math" w:eastAsia="Times New Roman" w:hAnsi="Cambria Math" w:cs="Arial"/>
                      <w:color w:val="595959" w:themeColor="text1" w:themeTint="A6"/>
                      <w:szCs w:val="20"/>
                    </w:rPr>
                    <m:t>i=1</m:t>
                  </m:r>
                </m:sub>
                <m:sup/>
                <m:e>
                  <m:sSub>
                    <m:sSubPr>
                      <m:ctrlPr>
                        <w:rPr>
                          <w:rFonts w:ascii="Cambria Math" w:eastAsia="Times New Roman" w:hAnsi="Cambria Math" w:cs="Arial"/>
                          <w:b/>
                          <w:color w:val="595959" w:themeColor="text1" w:themeTint="A6"/>
                          <w:szCs w:val="20"/>
                        </w:rPr>
                      </m:ctrlPr>
                    </m:sSubPr>
                    <m:e>
                      <m:r>
                        <m:rPr>
                          <m:sty m:val="b"/>
                        </m:rPr>
                        <w:rPr>
                          <w:rFonts w:ascii="Cambria Math" w:eastAsia="Times New Roman" w:hAnsi="Cambria Math" w:cs="Arial"/>
                          <w:color w:val="595959" w:themeColor="text1" w:themeTint="A6"/>
                          <w:szCs w:val="20"/>
                        </w:rPr>
                        <m:t>Ventas totales</m:t>
                      </m:r>
                    </m:e>
                    <m:sub>
                      <m:r>
                        <m:rPr>
                          <m:sty m:val="b"/>
                        </m:rPr>
                        <w:rPr>
                          <w:rFonts w:ascii="Cambria Math" w:eastAsia="Times New Roman" w:hAnsi="Cambria Math" w:cs="Arial"/>
                          <w:color w:val="595959" w:themeColor="text1" w:themeTint="A6"/>
                          <w:szCs w:val="20"/>
                        </w:rPr>
                        <m:t>i</m:t>
                      </m:r>
                    </m:sub>
                  </m:sSub>
                </m:e>
              </m:nary>
            </m:oMath>
            <w:r w:rsidR="001C1B91" w:rsidRPr="001C1B91">
              <w:rPr>
                <w:rFonts w:ascii="Century Gothic" w:eastAsia="Times New Roman" w:hAnsi="Century Gothic" w:cs="Arial"/>
                <w:color w:val="595959" w:themeColor="text1" w:themeTint="A6"/>
                <w:szCs w:val="20"/>
              </w:rPr>
              <w:t>: Sumatoria de las ventas totales de las empresas según la provincia i.</w:t>
            </w:r>
          </w:p>
          <w:p w14:paraId="2E4C5EDE" w14:textId="77777777" w:rsidR="001C1B91" w:rsidRPr="001C1B91" w:rsidRDefault="007D4D27" w:rsidP="00C455A9">
            <w:pPr>
              <w:pStyle w:val="NormalWeb"/>
              <w:jc w:val="both"/>
              <w:rPr>
                <w:rFonts w:ascii="Century Gothic" w:eastAsia="Times New Roman" w:hAnsi="Century Gothic" w:cs="Arial"/>
                <w:color w:val="595959" w:themeColor="text1" w:themeTint="A6"/>
                <w:sz w:val="20"/>
                <w:szCs w:val="20"/>
              </w:rPr>
            </w:pPr>
            <m:oMath>
              <m:nary>
                <m:naryPr>
                  <m:chr m:val="∑"/>
                  <m:ctrlPr>
                    <w:rPr>
                      <w:rFonts w:ascii="Cambria Math" w:eastAsia="Times New Roman" w:hAnsi="Cambria Math" w:cs="Arial"/>
                      <w:b/>
                      <w:color w:val="595959" w:themeColor="text1" w:themeTint="A6"/>
                      <w:sz w:val="20"/>
                      <w:szCs w:val="20"/>
                    </w:rPr>
                  </m:ctrlPr>
                </m:naryPr>
                <m:sub>
                  <m:r>
                    <m:rPr>
                      <m:sty m:val="b"/>
                    </m:rPr>
                    <w:rPr>
                      <w:rFonts w:ascii="Cambria Math" w:eastAsia="Times New Roman" w:hAnsi="Cambria Math" w:cs="Arial"/>
                      <w:color w:val="595959" w:themeColor="text1" w:themeTint="A6"/>
                      <w:sz w:val="20"/>
                      <w:szCs w:val="20"/>
                    </w:rPr>
                    <m:t>i=1</m:t>
                  </m:r>
                </m:sub>
                <m:sup>
                  <m:r>
                    <m:rPr>
                      <m:sty m:val="b"/>
                    </m:rPr>
                    <w:rPr>
                      <w:rFonts w:ascii="Cambria Math" w:eastAsia="Times New Roman" w:hAnsi="Cambria Math" w:cs="Arial"/>
                      <w:color w:val="595959" w:themeColor="text1" w:themeTint="A6"/>
                      <w:sz w:val="20"/>
                      <w:szCs w:val="20"/>
                    </w:rPr>
                    <m:t>24</m:t>
                  </m:r>
                </m:sup>
                <m:e>
                  <m:sSub>
                    <m:sSubPr>
                      <m:ctrlPr>
                        <w:rPr>
                          <w:rFonts w:ascii="Cambria Math" w:eastAsia="Times New Roman" w:hAnsi="Cambria Math" w:cs="Arial"/>
                          <w:b/>
                          <w:color w:val="595959" w:themeColor="text1" w:themeTint="A6"/>
                          <w:sz w:val="20"/>
                          <w:szCs w:val="20"/>
                        </w:rPr>
                      </m:ctrlPr>
                    </m:sSubPr>
                    <m:e>
                      <m:r>
                        <m:rPr>
                          <m:sty m:val="b"/>
                        </m:rPr>
                        <w:rPr>
                          <w:rFonts w:ascii="Cambria Math" w:eastAsia="Times New Roman" w:hAnsi="Cambria Math" w:cs="Arial"/>
                          <w:color w:val="595959" w:themeColor="text1" w:themeTint="A6"/>
                          <w:sz w:val="20"/>
                          <w:szCs w:val="20"/>
                        </w:rPr>
                        <m:t>Ventas totales</m:t>
                      </m:r>
                    </m:e>
                    <m:sub>
                      <m:r>
                        <m:rPr>
                          <m:sty m:val="b"/>
                        </m:rPr>
                        <w:rPr>
                          <w:rFonts w:ascii="Cambria Math" w:eastAsia="Times New Roman" w:hAnsi="Cambria Math" w:cs="Arial"/>
                          <w:color w:val="595959" w:themeColor="text1" w:themeTint="A6"/>
                          <w:sz w:val="20"/>
                          <w:szCs w:val="20"/>
                        </w:rPr>
                        <m:t>i</m:t>
                      </m:r>
                    </m:sub>
                  </m:sSub>
                </m:e>
              </m:nary>
            </m:oMath>
            <w:r w:rsidR="001C1B91" w:rsidRPr="001C1B91">
              <w:rPr>
                <w:rFonts w:ascii="Century Gothic" w:eastAsia="Times New Roman" w:hAnsi="Century Gothic" w:cs="Arial"/>
                <w:color w:val="595959" w:themeColor="text1" w:themeTint="A6"/>
                <w:sz w:val="20"/>
                <w:szCs w:val="20"/>
              </w:rPr>
              <w:t>: Sumatoria de las ventas totales de las empresas de las 24 provincias.</w:t>
            </w:r>
          </w:p>
          <w:p w14:paraId="42E0428A" w14:textId="77777777" w:rsidR="001C1B91" w:rsidRPr="001C1B91" w:rsidRDefault="001C1B91" w:rsidP="00C455A9">
            <w:pPr>
              <w:rPr>
                <w:rFonts w:ascii="Century Gothic" w:eastAsia="Calibri" w:hAnsi="Century Gothic" w:cs="Times New Roman"/>
                <w:b/>
                <w:color w:val="595959" w:themeColor="text1" w:themeTint="A6"/>
                <w:sz w:val="20"/>
                <w:szCs w:val="20"/>
                <w:lang w:val="es-ES_tradnl"/>
              </w:rPr>
            </w:pPr>
          </w:p>
        </w:tc>
      </w:tr>
      <w:tr w:rsidR="000B74D4" w:rsidRPr="000D0CBC" w14:paraId="25369B90" w14:textId="77777777" w:rsidTr="001C1B91">
        <w:trPr>
          <w:trHeight w:val="1925"/>
          <w:jc w:val="center"/>
        </w:trPr>
        <w:tc>
          <w:tcPr>
            <w:tcW w:w="2168" w:type="dxa"/>
            <w:shd w:val="clear" w:color="000000" w:fill="FFFFFF"/>
            <w:vAlign w:val="center"/>
          </w:tcPr>
          <w:p w14:paraId="4C0210C9" w14:textId="77777777" w:rsidR="000B74D4" w:rsidRDefault="000B74D4" w:rsidP="00C455A9">
            <w:pPr>
              <w:jc w:val="center"/>
              <w:rPr>
                <w:rFonts w:ascii="Century Gothic" w:hAnsi="Century Gothic"/>
                <w:color w:val="595959" w:themeColor="text1" w:themeTint="A6"/>
                <w:sz w:val="20"/>
                <w:szCs w:val="20"/>
              </w:rPr>
            </w:pPr>
            <w:bookmarkStart w:id="210" w:name="_Hlk68525478"/>
            <w:r w:rsidRPr="000B74D4">
              <w:rPr>
                <w:rFonts w:ascii="Century Gothic" w:hAnsi="Century Gothic"/>
                <w:color w:val="595959" w:themeColor="text1" w:themeTint="A6"/>
                <w:sz w:val="20"/>
                <w:szCs w:val="20"/>
              </w:rPr>
              <w:t>Concentración de las ventas según actividad económica</w:t>
            </w:r>
            <w:bookmarkEnd w:id="210"/>
          </w:p>
          <w:p w14:paraId="10E9C0DE" w14:textId="42BE6836" w:rsidR="000B74D4" w:rsidRPr="001C1B91" w:rsidRDefault="000B74D4" w:rsidP="00C455A9">
            <w:pPr>
              <w:jc w:val="center"/>
              <w:rPr>
                <w:rFonts w:ascii="Century Gothic" w:hAnsi="Century Gothic"/>
                <w:color w:val="595959" w:themeColor="text1" w:themeTint="A6"/>
                <w:sz w:val="20"/>
                <w:szCs w:val="20"/>
              </w:rPr>
            </w:pPr>
            <w:r>
              <w:rPr>
                <w:rFonts w:ascii="Cambria Math" w:eastAsia="Times New Roman" w:hAnsi="Cambria Math" w:cs="Arial"/>
                <w:b/>
                <w:i/>
                <w:color w:val="595959" w:themeColor="text1" w:themeTint="A6"/>
                <w:sz w:val="20"/>
                <w:szCs w:val="20"/>
                <w:lang w:val="en-US"/>
              </w:rPr>
              <w:t>IHH</w:t>
            </w:r>
          </w:p>
        </w:tc>
        <w:tc>
          <w:tcPr>
            <w:tcW w:w="2493" w:type="dxa"/>
            <w:shd w:val="clear" w:color="000000" w:fill="FFFFFF"/>
            <w:noWrap/>
            <w:vAlign w:val="center"/>
          </w:tcPr>
          <w:p w14:paraId="7298C6A8" w14:textId="0883B6B4" w:rsidR="000B74D4" w:rsidRPr="001C1B91" w:rsidRDefault="000B74D4" w:rsidP="00C455A9">
            <w:pPr>
              <w:rPr>
                <w:rFonts w:ascii="Century Gothic" w:hAnsi="Century Gothic"/>
                <w:color w:val="595959" w:themeColor="text1" w:themeTint="A6"/>
                <w:sz w:val="20"/>
                <w:szCs w:val="20"/>
                <w:lang w:val="es-ES"/>
              </w:rPr>
            </w:pPr>
            <w:r w:rsidRPr="000B74D4">
              <w:rPr>
                <w:rFonts w:ascii="Century Gothic" w:hAnsi="Century Gothic"/>
                <w:color w:val="595959" w:themeColor="text1" w:themeTint="A6"/>
                <w:sz w:val="20"/>
                <w:szCs w:val="20"/>
              </w:rPr>
              <w:t>Este indicador mide la concentración de las ventas según la actividad económica</w:t>
            </w:r>
          </w:p>
        </w:tc>
        <w:tc>
          <w:tcPr>
            <w:tcW w:w="2268" w:type="dxa"/>
            <w:shd w:val="clear" w:color="000000" w:fill="FFFFFF"/>
            <w:vAlign w:val="center"/>
          </w:tcPr>
          <w:p w14:paraId="41C016F9" w14:textId="77777777" w:rsidR="000B74D4" w:rsidRPr="001C1B91" w:rsidRDefault="000B74D4" w:rsidP="000B74D4">
            <w:pPr>
              <w:pStyle w:val="Prrafodelista"/>
              <w:numPr>
                <w:ilvl w:val="0"/>
                <w:numId w:val="17"/>
              </w:numPr>
              <w:jc w:val="left"/>
              <w:rPr>
                <w:rFonts w:ascii="Century Gothic" w:hAnsi="Century Gothic"/>
                <w:color w:val="595959" w:themeColor="text1" w:themeTint="A6"/>
                <w:szCs w:val="20"/>
                <w:lang w:val="es-ES"/>
              </w:rPr>
            </w:pPr>
            <w:r w:rsidRPr="001C1B91">
              <w:rPr>
                <w:rFonts w:ascii="Century Gothic" w:hAnsi="Century Gothic"/>
                <w:color w:val="595959" w:themeColor="text1" w:themeTint="A6"/>
                <w:szCs w:val="20"/>
                <w:lang w:val="es-ES"/>
              </w:rPr>
              <w:t>Ventas totales</w:t>
            </w:r>
          </w:p>
          <w:p w14:paraId="3C86BEA2" w14:textId="77777777" w:rsidR="000B74D4" w:rsidRPr="001C1B91" w:rsidRDefault="000B74D4" w:rsidP="000B74D4">
            <w:pPr>
              <w:pStyle w:val="Prrafodelista"/>
              <w:numPr>
                <w:ilvl w:val="0"/>
                <w:numId w:val="17"/>
              </w:numPr>
              <w:jc w:val="left"/>
              <w:rPr>
                <w:rFonts w:ascii="Century Gothic" w:hAnsi="Century Gothic"/>
                <w:color w:val="595959" w:themeColor="text1" w:themeTint="A6"/>
                <w:szCs w:val="20"/>
              </w:rPr>
            </w:pPr>
            <w:r w:rsidRPr="001C1B91">
              <w:rPr>
                <w:rFonts w:ascii="Century Gothic" w:hAnsi="Century Gothic"/>
                <w:color w:val="595959" w:themeColor="text1" w:themeTint="A6"/>
                <w:szCs w:val="20"/>
              </w:rPr>
              <w:t>CIIU rev. (1 dígito) – sección</w:t>
            </w:r>
          </w:p>
          <w:p w14:paraId="6A0A1C35" w14:textId="77777777" w:rsidR="000B74D4" w:rsidRPr="001C1B91" w:rsidRDefault="000B74D4" w:rsidP="000B74D4">
            <w:pPr>
              <w:pStyle w:val="Prrafodelista"/>
              <w:ind w:left="360"/>
              <w:jc w:val="left"/>
              <w:rPr>
                <w:rFonts w:ascii="Century Gothic" w:hAnsi="Century Gothic"/>
                <w:color w:val="595959" w:themeColor="text1" w:themeTint="A6"/>
                <w:szCs w:val="20"/>
                <w:lang w:val="es-ES"/>
              </w:rPr>
            </w:pPr>
          </w:p>
        </w:tc>
        <w:tc>
          <w:tcPr>
            <w:tcW w:w="2933" w:type="dxa"/>
            <w:shd w:val="clear" w:color="000000" w:fill="FFFFFF"/>
            <w:vAlign w:val="center"/>
          </w:tcPr>
          <w:p w14:paraId="5CEBF1FF" w14:textId="213E183B" w:rsidR="000B74D4" w:rsidRPr="000148D9" w:rsidRDefault="000148D9" w:rsidP="00C455A9">
            <w:pPr>
              <w:pStyle w:val="Prrafodelista"/>
              <w:ind w:left="0"/>
              <w:jc w:val="center"/>
              <w:rPr>
                <w:rFonts w:ascii="Cambria Math" w:eastAsia="Times New Roman" w:hAnsi="Cambria Math" w:cs="Arial"/>
                <w:b/>
                <w:i/>
                <w:color w:val="595959" w:themeColor="text1" w:themeTint="A6"/>
                <w:szCs w:val="20"/>
              </w:rPr>
            </w:pPr>
            <m:oMathPara>
              <m:oMath>
                <m:r>
                  <m:rPr>
                    <m:sty m:val="bi"/>
                  </m:rPr>
                  <w:rPr>
                    <w:rFonts w:ascii="Cambria Math" w:eastAsia="Times New Roman" w:hAnsi="Cambria Math" w:cs="Arial"/>
                    <w:color w:val="595959" w:themeColor="text1" w:themeTint="A6"/>
                    <w:szCs w:val="20"/>
                  </w:rPr>
                  <m:t>IHH=</m:t>
                </m:r>
                <m:nary>
                  <m:naryPr>
                    <m:chr m:val="∑"/>
                    <m:limLoc m:val="undOvr"/>
                    <m:ctrlPr>
                      <w:rPr>
                        <w:rFonts w:ascii="Cambria Math" w:eastAsia="Times New Roman" w:hAnsi="Cambria Math" w:cs="Arial"/>
                        <w:b/>
                        <w:color w:val="595959" w:themeColor="text1" w:themeTint="A6"/>
                        <w:szCs w:val="20"/>
                      </w:rPr>
                    </m:ctrlPr>
                  </m:naryPr>
                  <m:sub>
                    <m:r>
                      <m:rPr>
                        <m:sty m:val="bi"/>
                      </m:rPr>
                      <w:rPr>
                        <w:rFonts w:ascii="Cambria Math" w:eastAsia="Times New Roman" w:hAnsi="Cambria Math" w:cs="Arial"/>
                        <w:color w:val="595959" w:themeColor="text1" w:themeTint="A6"/>
                        <w:szCs w:val="20"/>
                      </w:rPr>
                      <m:t>i=1</m:t>
                    </m:r>
                  </m:sub>
                  <m:sup>
                    <m:r>
                      <m:rPr>
                        <m:sty m:val="bi"/>
                      </m:rPr>
                      <w:rPr>
                        <w:rFonts w:ascii="Cambria Math" w:eastAsia="Times New Roman" w:hAnsi="Cambria Math" w:cs="Arial"/>
                        <w:color w:val="595959" w:themeColor="text1" w:themeTint="A6"/>
                        <w:szCs w:val="20"/>
                      </w:rPr>
                      <m:t>n</m:t>
                    </m:r>
                  </m:sup>
                  <m:e>
                    <m:sSubSup>
                      <m:sSubSupPr>
                        <m:ctrlPr>
                          <w:rPr>
                            <w:rFonts w:ascii="Cambria Math" w:eastAsia="Times New Roman" w:hAnsi="Cambria Math" w:cs="Arial"/>
                            <w:b/>
                            <w:color w:val="595959" w:themeColor="text1" w:themeTint="A6"/>
                            <w:szCs w:val="20"/>
                          </w:rPr>
                        </m:ctrlPr>
                      </m:sSubSupPr>
                      <m:e>
                        <m:r>
                          <m:rPr>
                            <m:sty m:val="bi"/>
                          </m:rPr>
                          <w:rPr>
                            <w:rFonts w:ascii="Cambria Math" w:eastAsia="Times New Roman" w:hAnsi="Cambria Math" w:cs="Arial"/>
                            <w:color w:val="595959" w:themeColor="text1" w:themeTint="A6"/>
                            <w:szCs w:val="20"/>
                          </w:rPr>
                          <m:t>V</m:t>
                        </m:r>
                      </m:e>
                      <m:sub>
                        <m:r>
                          <m:rPr>
                            <m:sty m:val="bi"/>
                          </m:rPr>
                          <w:rPr>
                            <w:rFonts w:ascii="Cambria Math" w:eastAsia="Times New Roman" w:hAnsi="Cambria Math" w:cs="Arial"/>
                            <w:color w:val="595959" w:themeColor="text1" w:themeTint="A6"/>
                            <w:szCs w:val="20"/>
                          </w:rPr>
                          <m:t>i</m:t>
                        </m:r>
                      </m:sub>
                      <m:sup>
                        <m:r>
                          <m:rPr>
                            <m:sty m:val="bi"/>
                          </m:rPr>
                          <w:rPr>
                            <w:rFonts w:ascii="Cambria Math" w:eastAsia="Times New Roman" w:hAnsi="Cambria Math" w:cs="Arial"/>
                            <w:color w:val="595959" w:themeColor="text1" w:themeTint="A6"/>
                            <w:szCs w:val="20"/>
                          </w:rPr>
                          <m:t>2</m:t>
                        </m:r>
                      </m:sup>
                    </m:sSubSup>
                  </m:e>
                </m:nary>
              </m:oMath>
            </m:oMathPara>
          </w:p>
          <w:p w14:paraId="05E8A69E" w14:textId="77777777" w:rsidR="000B74D4" w:rsidRDefault="000B74D4" w:rsidP="00C455A9">
            <w:pPr>
              <w:pStyle w:val="Prrafodelista"/>
              <w:ind w:left="0"/>
              <w:jc w:val="center"/>
              <w:rPr>
                <w:rFonts w:ascii="Cambria Math" w:eastAsia="Times New Roman" w:hAnsi="Cambria Math" w:cs="Arial"/>
                <w:i/>
                <w:color w:val="595959" w:themeColor="text1" w:themeTint="A6"/>
                <w:szCs w:val="20"/>
              </w:rPr>
            </w:pPr>
          </w:p>
          <w:p w14:paraId="494CAEB9" w14:textId="77777777" w:rsidR="000B74D4" w:rsidRPr="001C1B91" w:rsidRDefault="000B74D4" w:rsidP="000B74D4">
            <w:pPr>
              <w:pStyle w:val="Prrafodelista"/>
              <w:ind w:left="0"/>
              <w:rPr>
                <w:rFonts w:ascii="Century Gothic" w:eastAsia="Times New Roman" w:hAnsi="Century Gothic" w:cs="Arial"/>
                <w:color w:val="595959" w:themeColor="text1" w:themeTint="A6"/>
                <w:szCs w:val="20"/>
              </w:rPr>
            </w:pPr>
            <w:r w:rsidRPr="001C1B91">
              <w:rPr>
                <w:rFonts w:ascii="Century Gothic" w:eastAsia="Times New Roman" w:hAnsi="Century Gothic" w:cs="Arial"/>
                <w:color w:val="595959" w:themeColor="text1" w:themeTint="A6"/>
                <w:szCs w:val="20"/>
              </w:rPr>
              <w:t>En donde:</w:t>
            </w:r>
          </w:p>
          <w:p w14:paraId="5D416BBB" w14:textId="67CAE3BD" w:rsidR="000B74D4" w:rsidRPr="000B74D4" w:rsidRDefault="000B74D4" w:rsidP="000B74D4">
            <w:pPr>
              <w:spacing w:after="200" w:line="276" w:lineRule="auto"/>
              <w:jc w:val="both"/>
              <w:rPr>
                <w:rFonts w:ascii="Century Gothic" w:eastAsia="Times New Roman" w:hAnsi="Century Gothic" w:cs="Arial"/>
                <w:color w:val="595959" w:themeColor="text1" w:themeTint="A6"/>
                <w:sz w:val="20"/>
                <w:szCs w:val="20"/>
                <w:lang w:val="es-ES_tradnl" w:eastAsia="es-ES_tradnl"/>
              </w:rPr>
            </w:pPr>
            <w:r w:rsidRPr="000B74D4">
              <w:rPr>
                <w:rFonts w:ascii="Century Gothic" w:eastAsia="Times New Roman" w:hAnsi="Century Gothic" w:cs="Arial"/>
                <w:b/>
                <w:color w:val="595959" w:themeColor="text1" w:themeTint="A6"/>
                <w:sz w:val="20"/>
                <w:szCs w:val="20"/>
                <w:lang w:val="es-ES_tradnl" w:eastAsia="es-ES_tradnl"/>
              </w:rPr>
              <w:t>IHH:</w:t>
            </w:r>
            <w:r>
              <w:rPr>
                <w:rFonts w:ascii="Century Gothic" w:eastAsia="Times New Roman" w:hAnsi="Century Gothic" w:cs="Arial"/>
                <w:color w:val="595959" w:themeColor="text1" w:themeTint="A6"/>
                <w:sz w:val="20"/>
                <w:szCs w:val="20"/>
                <w:lang w:val="es-ES_tradnl" w:eastAsia="es-ES_tradnl"/>
              </w:rPr>
              <w:t xml:space="preserve"> </w:t>
            </w:r>
            <w:r w:rsidRPr="000B74D4">
              <w:rPr>
                <w:rFonts w:ascii="Century Gothic" w:eastAsia="Times New Roman" w:hAnsi="Century Gothic" w:cs="Arial"/>
                <w:color w:val="595959" w:themeColor="text1" w:themeTint="A6"/>
                <w:sz w:val="20"/>
                <w:szCs w:val="20"/>
                <w:lang w:val="es-ES_tradnl" w:eastAsia="es-ES_tradnl"/>
              </w:rPr>
              <w:t xml:space="preserve">Índice de Herfindahl e Hirschman (para </w:t>
            </w:r>
            <w:r>
              <w:rPr>
                <w:rFonts w:ascii="Century Gothic" w:eastAsia="Times New Roman" w:hAnsi="Century Gothic" w:cs="Arial"/>
                <w:color w:val="595959" w:themeColor="text1" w:themeTint="A6"/>
                <w:sz w:val="20"/>
                <w:szCs w:val="20"/>
                <w:lang w:val="es-ES_tradnl" w:eastAsia="es-ES_tradnl"/>
              </w:rPr>
              <w:t>este</w:t>
            </w:r>
            <w:r w:rsidRPr="000B74D4">
              <w:rPr>
                <w:rFonts w:ascii="Century Gothic" w:eastAsia="Times New Roman" w:hAnsi="Century Gothic" w:cs="Arial"/>
                <w:color w:val="595959" w:themeColor="text1" w:themeTint="A6"/>
                <w:sz w:val="20"/>
                <w:szCs w:val="20"/>
                <w:lang w:val="es-ES_tradnl" w:eastAsia="es-ES_tradnl"/>
              </w:rPr>
              <w:t xml:space="preserve"> caso concentración de ventas según actividades económicas)</w:t>
            </w:r>
          </w:p>
          <w:p w14:paraId="31CEC42B" w14:textId="77777777" w:rsidR="000B74D4" w:rsidRPr="000B74D4" w:rsidRDefault="000B74D4" w:rsidP="000B74D4">
            <w:pPr>
              <w:spacing w:after="200" w:line="276" w:lineRule="auto"/>
              <w:jc w:val="both"/>
              <w:rPr>
                <w:rFonts w:ascii="Century Gothic" w:eastAsia="Times New Roman" w:hAnsi="Century Gothic" w:cs="Arial"/>
                <w:color w:val="595959" w:themeColor="text1" w:themeTint="A6"/>
                <w:sz w:val="20"/>
                <w:szCs w:val="20"/>
                <w:lang w:val="es-ES_tradnl" w:eastAsia="es-ES_tradnl"/>
              </w:rPr>
            </w:pPr>
          </w:p>
          <w:p w14:paraId="64487A4A" w14:textId="387BDB1E" w:rsidR="000B74D4" w:rsidRPr="000B74D4" w:rsidRDefault="007D4D27" w:rsidP="000B74D4">
            <w:pPr>
              <w:spacing w:after="200" w:line="276" w:lineRule="auto"/>
              <w:jc w:val="both"/>
              <w:rPr>
                <w:rFonts w:ascii="Century Gothic" w:eastAsia="Times New Roman" w:hAnsi="Century Gothic" w:cs="Arial"/>
                <w:color w:val="595959" w:themeColor="text1" w:themeTint="A6"/>
                <w:sz w:val="20"/>
                <w:szCs w:val="20"/>
                <w:lang w:val="es-ES_tradnl" w:eastAsia="es-ES_tradnl"/>
              </w:rPr>
            </w:pPr>
            <m:oMath>
              <m:nary>
                <m:naryPr>
                  <m:chr m:val="∑"/>
                  <m:limLoc m:val="undOvr"/>
                  <m:ctrlPr>
                    <w:rPr>
                      <w:rFonts w:ascii="Cambria Math" w:eastAsia="Times New Roman" w:hAnsi="Cambria Math" w:cs="Arial"/>
                      <w:b/>
                      <w:color w:val="595959" w:themeColor="text1" w:themeTint="A6"/>
                      <w:sz w:val="20"/>
                      <w:szCs w:val="20"/>
                      <w:lang w:val="es-ES_tradnl" w:eastAsia="es-ES_tradnl"/>
                    </w:rPr>
                  </m:ctrlPr>
                </m:naryPr>
                <m:sub>
                  <m:r>
                    <m:rPr>
                      <m:sty m:val="bi"/>
                    </m:rPr>
                    <w:rPr>
                      <w:rFonts w:ascii="Cambria Math" w:eastAsia="Times New Roman" w:hAnsi="Cambria Math" w:cs="Arial"/>
                      <w:color w:val="595959" w:themeColor="text1" w:themeTint="A6"/>
                      <w:sz w:val="20"/>
                      <w:szCs w:val="20"/>
                      <w:lang w:val="es-ES_tradnl" w:eastAsia="es-ES_tradnl"/>
                    </w:rPr>
                    <m:t>i</m:t>
                  </m:r>
                  <m:r>
                    <m:rPr>
                      <m:sty m:val="b"/>
                    </m:rPr>
                    <w:rPr>
                      <w:rFonts w:ascii="Cambria Math" w:eastAsia="Times New Roman" w:hAnsi="Cambria Math" w:cs="Arial"/>
                      <w:color w:val="595959" w:themeColor="text1" w:themeTint="A6"/>
                      <w:sz w:val="20"/>
                      <w:szCs w:val="20"/>
                      <w:lang w:val="es-ES_tradnl" w:eastAsia="es-ES_tradnl"/>
                    </w:rPr>
                    <m:t>=1</m:t>
                  </m:r>
                </m:sub>
                <m:sup>
                  <m:r>
                    <m:rPr>
                      <m:sty m:val="bi"/>
                    </m:rPr>
                    <w:rPr>
                      <w:rFonts w:ascii="Cambria Math" w:eastAsia="Times New Roman" w:hAnsi="Cambria Math" w:cs="Arial"/>
                      <w:color w:val="595959" w:themeColor="text1" w:themeTint="A6"/>
                      <w:sz w:val="20"/>
                      <w:szCs w:val="20"/>
                      <w:lang w:val="es-ES_tradnl" w:eastAsia="es-ES_tradnl"/>
                    </w:rPr>
                    <m:t>n</m:t>
                  </m:r>
                </m:sup>
                <m:e>
                  <m:sSubSup>
                    <m:sSubSupPr>
                      <m:ctrlPr>
                        <w:rPr>
                          <w:rFonts w:ascii="Cambria Math" w:eastAsia="Times New Roman" w:hAnsi="Cambria Math" w:cs="Arial"/>
                          <w:b/>
                          <w:color w:val="595959" w:themeColor="text1" w:themeTint="A6"/>
                          <w:sz w:val="20"/>
                          <w:szCs w:val="20"/>
                          <w:lang w:val="es-ES_tradnl" w:eastAsia="es-ES_tradnl"/>
                        </w:rPr>
                      </m:ctrlPr>
                    </m:sSubSupPr>
                    <m:e>
                      <m:r>
                        <m:rPr>
                          <m:sty m:val="bi"/>
                        </m:rPr>
                        <w:rPr>
                          <w:rFonts w:ascii="Cambria Math" w:eastAsia="Times New Roman" w:hAnsi="Cambria Math" w:cs="Arial"/>
                          <w:color w:val="595959" w:themeColor="text1" w:themeTint="A6"/>
                          <w:sz w:val="20"/>
                          <w:szCs w:val="20"/>
                          <w:lang w:val="es-ES_tradnl" w:eastAsia="es-ES_tradnl"/>
                        </w:rPr>
                        <m:t>V</m:t>
                      </m:r>
                    </m:e>
                    <m:sub>
                      <m:r>
                        <m:rPr>
                          <m:sty m:val="bi"/>
                        </m:rPr>
                        <w:rPr>
                          <w:rFonts w:ascii="Cambria Math" w:eastAsia="Times New Roman" w:hAnsi="Cambria Math" w:cs="Arial"/>
                          <w:color w:val="595959" w:themeColor="text1" w:themeTint="A6"/>
                          <w:sz w:val="20"/>
                          <w:szCs w:val="20"/>
                          <w:lang w:val="es-ES_tradnl" w:eastAsia="es-ES_tradnl"/>
                        </w:rPr>
                        <m:t>i</m:t>
                      </m:r>
                    </m:sub>
                    <m:sup>
                      <m:r>
                        <m:rPr>
                          <m:sty m:val="b"/>
                        </m:rPr>
                        <w:rPr>
                          <w:rFonts w:ascii="Cambria Math" w:eastAsia="Times New Roman" w:hAnsi="Cambria Math" w:cs="Arial"/>
                          <w:color w:val="595959" w:themeColor="text1" w:themeTint="A6"/>
                          <w:sz w:val="20"/>
                          <w:szCs w:val="20"/>
                          <w:lang w:val="es-ES_tradnl" w:eastAsia="es-ES_tradnl"/>
                        </w:rPr>
                        <m:t>2</m:t>
                      </m:r>
                    </m:sup>
                  </m:sSubSup>
                </m:e>
              </m:nary>
            </m:oMath>
            <w:r w:rsidR="000B74D4" w:rsidRPr="000148D9">
              <w:rPr>
                <w:rFonts w:ascii="Century Gothic" w:eastAsia="Times New Roman" w:hAnsi="Century Gothic" w:cs="Arial"/>
                <w:b/>
                <w:color w:val="595959" w:themeColor="text1" w:themeTint="A6"/>
                <w:sz w:val="20"/>
                <w:szCs w:val="20"/>
                <w:lang w:val="es-ES_tradnl" w:eastAsia="es-ES_tradnl"/>
              </w:rPr>
              <w:t>:</w:t>
            </w:r>
            <w:r w:rsidR="000B74D4">
              <w:rPr>
                <w:rFonts w:ascii="Century Gothic" w:eastAsia="Times New Roman" w:hAnsi="Century Gothic" w:cs="Arial"/>
                <w:color w:val="595959" w:themeColor="text1" w:themeTint="A6"/>
                <w:sz w:val="20"/>
                <w:szCs w:val="20"/>
                <w:lang w:val="es-ES_tradnl" w:eastAsia="es-ES_tradnl"/>
              </w:rPr>
              <w:t xml:space="preserve"> </w:t>
            </w:r>
            <w:r w:rsidR="000B74D4" w:rsidRPr="000B74D4">
              <w:rPr>
                <w:rFonts w:ascii="Century Gothic" w:eastAsia="Times New Roman" w:hAnsi="Century Gothic" w:cs="Arial"/>
                <w:color w:val="595959" w:themeColor="text1" w:themeTint="A6"/>
                <w:sz w:val="20"/>
                <w:szCs w:val="20"/>
                <w:lang w:val="es-ES_tradnl" w:eastAsia="es-ES_tradnl"/>
              </w:rPr>
              <w:t>Sumatoria de los cuadrados de la tasa de participación en ventas de cada una de las n actividades económicas de la CIIU Rev.4.0 a 1 dígito que la componen.</w:t>
            </w:r>
          </w:p>
          <w:p w14:paraId="20E8FCCA" w14:textId="62AF9B60" w:rsidR="000B74D4" w:rsidRPr="000B74D4" w:rsidRDefault="000B74D4" w:rsidP="000B74D4">
            <w:pPr>
              <w:pStyle w:val="Prrafodelista"/>
              <w:ind w:left="0"/>
              <w:jc w:val="left"/>
              <w:rPr>
                <w:rFonts w:ascii="Cambria Math" w:eastAsia="Times New Roman" w:hAnsi="Cambria Math" w:cs="Arial"/>
                <w:b/>
                <w:color w:val="595959" w:themeColor="text1" w:themeTint="A6"/>
                <w:szCs w:val="20"/>
              </w:rPr>
            </w:pPr>
          </w:p>
        </w:tc>
      </w:tr>
      <w:tr w:rsidR="00BF7001" w:rsidRPr="000D0CBC" w14:paraId="325B9A16" w14:textId="77777777" w:rsidTr="00251ECD">
        <w:trPr>
          <w:trHeight w:val="6888"/>
          <w:jc w:val="center"/>
        </w:trPr>
        <w:tc>
          <w:tcPr>
            <w:tcW w:w="2168" w:type="dxa"/>
            <w:shd w:val="clear" w:color="000000" w:fill="FFFFFF"/>
            <w:vAlign w:val="center"/>
          </w:tcPr>
          <w:p w14:paraId="34D80200" w14:textId="5DD1976F" w:rsidR="00BF7001" w:rsidRDefault="00D271C9" w:rsidP="00C455A9">
            <w:pPr>
              <w:jc w:val="center"/>
              <w:rPr>
                <w:rFonts w:ascii="Century Gothic" w:hAnsi="Century Gothic"/>
                <w:color w:val="595959" w:themeColor="text1" w:themeTint="A6"/>
                <w:sz w:val="20"/>
                <w:szCs w:val="20"/>
              </w:rPr>
            </w:pPr>
            <w:r>
              <w:rPr>
                <w:rFonts w:ascii="Century Gothic" w:hAnsi="Century Gothic"/>
                <w:color w:val="595959" w:themeColor="text1" w:themeTint="A6"/>
                <w:sz w:val="20"/>
                <w:szCs w:val="20"/>
              </w:rPr>
              <w:t>Remuneraciones promedio de las empresas del DIEE</w:t>
            </w:r>
          </w:p>
          <w:p w14:paraId="32C3921D" w14:textId="4CAB6A92" w:rsidR="00D271C9" w:rsidRPr="004E3F87" w:rsidRDefault="00D271C9" w:rsidP="00C455A9">
            <w:pPr>
              <w:jc w:val="center"/>
              <w:rPr>
                <w:rFonts w:ascii="Century Gothic" w:hAnsi="Century Gothic"/>
                <w:b/>
                <w:color w:val="595959" w:themeColor="text1" w:themeTint="A6"/>
                <w:sz w:val="20"/>
                <w:szCs w:val="20"/>
              </w:rPr>
            </w:pPr>
            <w:r w:rsidRPr="004E3F87">
              <w:rPr>
                <w:rFonts w:ascii="Century Gothic" w:hAnsi="Century Gothic"/>
                <w:b/>
                <w:color w:val="595959" w:themeColor="text1" w:themeTint="A6"/>
                <w:sz w:val="20"/>
                <w:szCs w:val="20"/>
              </w:rPr>
              <w:t>IRPA o IRPM</w:t>
            </w:r>
          </w:p>
        </w:tc>
        <w:tc>
          <w:tcPr>
            <w:tcW w:w="2493" w:type="dxa"/>
            <w:shd w:val="clear" w:color="000000" w:fill="FFFFFF"/>
            <w:noWrap/>
            <w:vAlign w:val="center"/>
          </w:tcPr>
          <w:p w14:paraId="13C926CD" w14:textId="73492088" w:rsidR="00BF7001" w:rsidRPr="000B74D4" w:rsidRDefault="00D271C9" w:rsidP="000D4214">
            <w:pPr>
              <w:jc w:val="both"/>
              <w:rPr>
                <w:rFonts w:ascii="Century Gothic" w:hAnsi="Century Gothic"/>
                <w:color w:val="595959" w:themeColor="text1" w:themeTint="A6"/>
                <w:sz w:val="20"/>
                <w:szCs w:val="20"/>
              </w:rPr>
            </w:pPr>
            <w:r>
              <w:rPr>
                <w:rFonts w:ascii="Century Gothic" w:hAnsi="Century Gothic"/>
                <w:color w:val="595959" w:themeColor="text1" w:themeTint="A6"/>
                <w:sz w:val="20"/>
                <w:szCs w:val="20"/>
              </w:rPr>
              <w:t>Este indicador mide las remuneraciones promedio de las empresas del DIEE en el año de referencia (t) y puede calcularse por actividades económicas de las empresas a nivel nacional o provincial</w:t>
            </w:r>
          </w:p>
        </w:tc>
        <w:tc>
          <w:tcPr>
            <w:tcW w:w="2268" w:type="dxa"/>
            <w:shd w:val="clear" w:color="000000" w:fill="FFFFFF"/>
            <w:vAlign w:val="center"/>
          </w:tcPr>
          <w:p w14:paraId="0AF84380" w14:textId="77777777" w:rsidR="00BF7001" w:rsidRDefault="001B4EB7" w:rsidP="000B74D4">
            <w:pPr>
              <w:pStyle w:val="Prrafodelista"/>
              <w:numPr>
                <w:ilvl w:val="0"/>
                <w:numId w:val="17"/>
              </w:numPr>
              <w:jc w:val="left"/>
              <w:rPr>
                <w:rFonts w:ascii="Century Gothic" w:hAnsi="Century Gothic"/>
                <w:color w:val="595959" w:themeColor="text1" w:themeTint="A6"/>
                <w:szCs w:val="20"/>
                <w:lang w:val="es-ES"/>
              </w:rPr>
            </w:pPr>
            <w:r>
              <w:rPr>
                <w:rFonts w:ascii="Century Gothic" w:hAnsi="Century Gothic"/>
                <w:color w:val="595959" w:themeColor="text1" w:themeTint="A6"/>
                <w:szCs w:val="20"/>
                <w:lang w:val="es-ES"/>
              </w:rPr>
              <w:t xml:space="preserve">Remuneraciones </w:t>
            </w:r>
          </w:p>
          <w:p w14:paraId="55DFC183" w14:textId="77777777" w:rsidR="001B4EB7" w:rsidRDefault="001B4EB7" w:rsidP="000B74D4">
            <w:pPr>
              <w:pStyle w:val="Prrafodelista"/>
              <w:numPr>
                <w:ilvl w:val="0"/>
                <w:numId w:val="17"/>
              </w:numPr>
              <w:jc w:val="left"/>
              <w:rPr>
                <w:rFonts w:ascii="Century Gothic" w:hAnsi="Century Gothic"/>
                <w:color w:val="595959" w:themeColor="text1" w:themeTint="A6"/>
                <w:szCs w:val="20"/>
                <w:lang w:val="es-ES"/>
              </w:rPr>
            </w:pPr>
            <w:r>
              <w:rPr>
                <w:rFonts w:ascii="Century Gothic" w:hAnsi="Century Gothic"/>
                <w:color w:val="595959" w:themeColor="text1" w:themeTint="A6"/>
                <w:szCs w:val="20"/>
                <w:lang w:val="es-ES"/>
              </w:rPr>
              <w:t>Remuneraciones de hombres y mujeres</w:t>
            </w:r>
          </w:p>
          <w:p w14:paraId="26E2342E" w14:textId="09316CD3" w:rsidR="001B4EB7" w:rsidRPr="001C1B91" w:rsidRDefault="001B4EB7" w:rsidP="000B74D4">
            <w:pPr>
              <w:pStyle w:val="Prrafodelista"/>
              <w:numPr>
                <w:ilvl w:val="0"/>
                <w:numId w:val="17"/>
              </w:numPr>
              <w:jc w:val="left"/>
              <w:rPr>
                <w:rFonts w:ascii="Century Gothic" w:hAnsi="Century Gothic"/>
                <w:color w:val="595959" w:themeColor="text1" w:themeTint="A6"/>
                <w:szCs w:val="20"/>
                <w:lang w:val="es-ES"/>
              </w:rPr>
            </w:pPr>
            <w:r>
              <w:rPr>
                <w:rFonts w:ascii="Century Gothic" w:hAnsi="Century Gothic"/>
                <w:color w:val="595959" w:themeColor="text1" w:themeTint="A6"/>
                <w:szCs w:val="20"/>
                <w:lang w:val="es-ES"/>
              </w:rPr>
              <w:t>Plazas de empleo registrado equivalente</w:t>
            </w:r>
          </w:p>
        </w:tc>
        <w:tc>
          <w:tcPr>
            <w:tcW w:w="2933" w:type="dxa"/>
            <w:shd w:val="clear" w:color="000000" w:fill="FFFFFF"/>
            <w:vAlign w:val="center"/>
          </w:tcPr>
          <w:p w14:paraId="6EAB171F" w14:textId="77777777" w:rsidR="000D4214" w:rsidRPr="00251ECD" w:rsidRDefault="000D4214" w:rsidP="000D4214">
            <w:pPr>
              <w:spacing w:line="360" w:lineRule="auto"/>
              <w:jc w:val="center"/>
              <w:rPr>
                <w:rFonts w:ascii="Century Gothic" w:eastAsiaTheme="minorEastAsia" w:hAnsi="Century Gothic" w:cs="Arial"/>
                <w:b/>
                <w:color w:val="595959" w:themeColor="text1" w:themeTint="A6"/>
                <w:sz w:val="20"/>
                <w:szCs w:val="20"/>
              </w:rPr>
            </w:pPr>
            <w:r w:rsidRPr="00251ECD">
              <w:rPr>
                <w:rFonts w:ascii="Century Gothic" w:eastAsiaTheme="minorEastAsia" w:hAnsi="Century Gothic" w:cs="Arial"/>
                <w:b/>
                <w:color w:val="595959" w:themeColor="text1" w:themeTint="A6"/>
                <w:sz w:val="20"/>
                <w:szCs w:val="20"/>
              </w:rPr>
              <w:t>Promedio Anual</w:t>
            </w:r>
          </w:p>
          <w:p w14:paraId="34A2EA36" w14:textId="77777777" w:rsidR="000D4214" w:rsidRPr="000D4214" w:rsidRDefault="000D4214" w:rsidP="000D4214">
            <w:pPr>
              <w:spacing w:line="360" w:lineRule="auto"/>
              <w:jc w:val="center"/>
              <w:rPr>
                <w:rFonts w:ascii="Arial" w:eastAsia="Times New Roman" w:hAnsi="Arial" w:cs="Arial"/>
                <w:b/>
                <w:bCs/>
                <w:color w:val="595959" w:themeColor="text1" w:themeTint="A6"/>
                <w:sz w:val="20"/>
                <w:szCs w:val="20"/>
              </w:rPr>
            </w:pPr>
            <m:oMathPara>
              <m:oMath>
                <m:r>
                  <w:rPr>
                    <w:rFonts w:ascii="Cambria Math" w:eastAsia="Times New Roman" w:hAnsi="Cambria Math" w:cs="Arial"/>
                    <w:color w:val="595959" w:themeColor="text1" w:themeTint="A6"/>
                    <w:sz w:val="20"/>
                    <w:szCs w:val="20"/>
                    <w:lang w:eastAsia="es-ES_tradnl"/>
                  </w:rPr>
                  <m:t>IRPA=</m:t>
                </m:r>
                <m:f>
                  <m:fPr>
                    <m:ctrlPr>
                      <w:rPr>
                        <w:rFonts w:ascii="Cambria Math" w:eastAsia="Times New Roman" w:hAnsi="Cambria Math" w:cs="Arial"/>
                        <w:i/>
                        <w:color w:val="595959" w:themeColor="text1" w:themeTint="A6"/>
                        <w:sz w:val="20"/>
                        <w:szCs w:val="20"/>
                        <w:lang w:eastAsia="es-ES_tradnl"/>
                      </w:rPr>
                    </m:ctrlPr>
                  </m:fPr>
                  <m:num>
                    <m:nary>
                      <m:naryPr>
                        <m:chr m:val="∑"/>
                        <m:limLoc m:val="undOvr"/>
                        <m:ctrlPr>
                          <w:rPr>
                            <w:rFonts w:ascii="Cambria Math" w:eastAsia="Times New Roman" w:hAnsi="Cambria Math" w:cs="Arial"/>
                            <w:i/>
                            <w:color w:val="595959" w:themeColor="text1" w:themeTint="A6"/>
                            <w:sz w:val="20"/>
                            <w:szCs w:val="20"/>
                            <w:lang w:eastAsia="es-ES_tradnl"/>
                          </w:rPr>
                        </m:ctrlPr>
                      </m:naryPr>
                      <m:sub>
                        <m:r>
                          <w:rPr>
                            <w:rFonts w:ascii="Cambria Math" w:eastAsia="Times New Roman" w:hAnsi="Cambria Math" w:cs="Arial"/>
                            <w:color w:val="595959" w:themeColor="text1" w:themeTint="A6"/>
                            <w:sz w:val="20"/>
                            <w:szCs w:val="20"/>
                            <w:lang w:eastAsia="es-ES_tradnl"/>
                          </w:rPr>
                          <m:t>i=1</m:t>
                        </m:r>
                      </m:sub>
                      <m:sup>
                        <m:r>
                          <w:rPr>
                            <w:rFonts w:ascii="Cambria Math" w:eastAsia="Times New Roman" w:hAnsi="Cambria Math" w:cs="Arial"/>
                            <w:color w:val="595959" w:themeColor="text1" w:themeTint="A6"/>
                            <w:sz w:val="20"/>
                            <w:szCs w:val="20"/>
                            <w:lang w:eastAsia="es-ES_tradnl"/>
                          </w:rPr>
                          <m:t>n</m:t>
                        </m:r>
                      </m:sup>
                      <m:e>
                        <m:r>
                          <w:rPr>
                            <w:rFonts w:ascii="Cambria Math" w:eastAsia="Times New Roman" w:hAnsi="Cambria Math" w:cs="Arial"/>
                            <w:color w:val="595959" w:themeColor="text1" w:themeTint="A6"/>
                            <w:sz w:val="20"/>
                            <w:szCs w:val="20"/>
                            <w:lang w:eastAsia="es-ES_tradnl"/>
                          </w:rPr>
                          <m:t>MS</m:t>
                        </m:r>
                      </m:e>
                    </m:nary>
                    <m:r>
                      <w:rPr>
                        <w:rFonts w:ascii="Cambria Math" w:eastAsia="Times New Roman" w:hAnsi="Cambria Math" w:cs="Arial"/>
                        <w:color w:val="595959" w:themeColor="text1" w:themeTint="A6"/>
                        <w:sz w:val="20"/>
                        <w:szCs w:val="20"/>
                        <w:lang w:eastAsia="es-ES_tradnl"/>
                      </w:rPr>
                      <m:t xml:space="preserve">   </m:t>
                    </m:r>
                  </m:num>
                  <m:den>
                    <m:nary>
                      <m:naryPr>
                        <m:chr m:val="∑"/>
                        <m:limLoc m:val="undOvr"/>
                        <m:ctrlPr>
                          <w:rPr>
                            <w:rFonts w:ascii="Cambria Math" w:eastAsia="Times New Roman" w:hAnsi="Cambria Math" w:cs="Arial"/>
                            <w:i/>
                            <w:color w:val="595959" w:themeColor="text1" w:themeTint="A6"/>
                            <w:sz w:val="20"/>
                            <w:szCs w:val="20"/>
                            <w:lang w:eastAsia="es-ES_tradnl"/>
                          </w:rPr>
                        </m:ctrlPr>
                      </m:naryPr>
                      <m:sub>
                        <m:r>
                          <w:rPr>
                            <w:rFonts w:ascii="Cambria Math" w:eastAsia="Times New Roman" w:hAnsi="Cambria Math" w:cs="Arial"/>
                            <w:color w:val="595959" w:themeColor="text1" w:themeTint="A6"/>
                            <w:sz w:val="20"/>
                            <w:szCs w:val="20"/>
                            <w:lang w:eastAsia="es-ES_tradnl"/>
                          </w:rPr>
                          <m:t>i=1</m:t>
                        </m:r>
                      </m:sub>
                      <m:sup>
                        <m:r>
                          <w:rPr>
                            <w:rFonts w:ascii="Cambria Math" w:eastAsia="Times New Roman" w:hAnsi="Cambria Math" w:cs="Arial"/>
                            <w:color w:val="595959" w:themeColor="text1" w:themeTint="A6"/>
                            <w:sz w:val="20"/>
                            <w:szCs w:val="20"/>
                            <w:lang w:eastAsia="es-ES_tradnl"/>
                          </w:rPr>
                          <m:t>n</m:t>
                        </m:r>
                      </m:sup>
                      <m:e>
                        <m:r>
                          <w:rPr>
                            <w:rFonts w:ascii="Cambria Math" w:eastAsia="Times New Roman" w:hAnsi="Cambria Math" w:cs="Arial"/>
                            <w:color w:val="595959" w:themeColor="text1" w:themeTint="A6"/>
                            <w:sz w:val="20"/>
                            <w:szCs w:val="20"/>
                            <w:lang w:eastAsia="es-ES_tradnl"/>
                          </w:rPr>
                          <m:t>EPE</m:t>
                        </m:r>
                      </m:e>
                    </m:nary>
                  </m:den>
                </m:f>
              </m:oMath>
            </m:oMathPara>
          </w:p>
          <w:p w14:paraId="3F99EA38" w14:textId="77777777" w:rsidR="000D4214" w:rsidRPr="00251ECD" w:rsidRDefault="000D4214" w:rsidP="000D4214">
            <w:pPr>
              <w:spacing w:line="360" w:lineRule="auto"/>
              <w:jc w:val="center"/>
              <w:rPr>
                <w:rFonts w:ascii="Century Gothic" w:eastAsiaTheme="minorEastAsia" w:hAnsi="Century Gothic" w:cs="Arial"/>
                <w:b/>
                <w:color w:val="595959" w:themeColor="text1" w:themeTint="A6"/>
                <w:sz w:val="20"/>
                <w:szCs w:val="20"/>
              </w:rPr>
            </w:pPr>
            <w:r w:rsidRPr="00251ECD">
              <w:rPr>
                <w:rFonts w:ascii="Century Gothic" w:eastAsiaTheme="minorEastAsia" w:hAnsi="Century Gothic" w:cs="Arial"/>
                <w:b/>
                <w:color w:val="595959" w:themeColor="text1" w:themeTint="A6"/>
                <w:sz w:val="20"/>
                <w:szCs w:val="20"/>
              </w:rPr>
              <w:t>Promedio mensual</w:t>
            </w:r>
          </w:p>
          <w:p w14:paraId="0EBB30E7" w14:textId="77777777" w:rsidR="000D4214" w:rsidRPr="00E77FF6" w:rsidRDefault="000D4214" w:rsidP="000D4214">
            <w:pPr>
              <w:spacing w:line="360" w:lineRule="auto"/>
              <w:jc w:val="center"/>
              <w:rPr>
                <w:rFonts w:ascii="Arial" w:eastAsia="Times New Roman" w:hAnsi="Arial" w:cs="Arial"/>
                <w:b/>
                <w:bCs/>
                <w:sz w:val="20"/>
                <w:szCs w:val="20"/>
              </w:rPr>
            </w:pPr>
            <m:oMathPara>
              <m:oMath>
                <m:r>
                  <w:rPr>
                    <w:rFonts w:ascii="Cambria Math" w:eastAsia="Times New Roman" w:hAnsi="Cambria Math" w:cs="Arial"/>
                    <w:color w:val="595959" w:themeColor="text1" w:themeTint="A6"/>
                    <w:sz w:val="20"/>
                    <w:szCs w:val="20"/>
                    <w:lang w:eastAsia="es-ES_tradnl"/>
                  </w:rPr>
                  <m:t>IRPM=</m:t>
                </m:r>
                <m:f>
                  <m:fPr>
                    <m:ctrlPr>
                      <w:rPr>
                        <w:rFonts w:ascii="Cambria Math" w:eastAsia="Times New Roman" w:hAnsi="Cambria Math" w:cs="Arial"/>
                        <w:i/>
                        <w:color w:val="595959" w:themeColor="text1" w:themeTint="A6"/>
                        <w:sz w:val="20"/>
                        <w:szCs w:val="20"/>
                        <w:lang w:eastAsia="es-ES_tradnl"/>
                      </w:rPr>
                    </m:ctrlPr>
                  </m:fPr>
                  <m:num>
                    <m:nary>
                      <m:naryPr>
                        <m:chr m:val="∑"/>
                        <m:limLoc m:val="undOvr"/>
                        <m:ctrlPr>
                          <w:rPr>
                            <w:rFonts w:ascii="Cambria Math" w:eastAsia="Times New Roman" w:hAnsi="Cambria Math" w:cs="Arial"/>
                            <w:i/>
                            <w:color w:val="595959" w:themeColor="text1" w:themeTint="A6"/>
                            <w:sz w:val="20"/>
                            <w:szCs w:val="20"/>
                            <w:lang w:eastAsia="es-ES_tradnl"/>
                          </w:rPr>
                        </m:ctrlPr>
                      </m:naryPr>
                      <m:sub>
                        <m:r>
                          <w:rPr>
                            <w:rFonts w:ascii="Cambria Math" w:eastAsia="Times New Roman" w:hAnsi="Cambria Math" w:cs="Arial"/>
                            <w:color w:val="595959" w:themeColor="text1" w:themeTint="A6"/>
                            <w:sz w:val="20"/>
                            <w:szCs w:val="20"/>
                            <w:lang w:eastAsia="es-ES_tradnl"/>
                          </w:rPr>
                          <m:t>i=1</m:t>
                        </m:r>
                      </m:sub>
                      <m:sup>
                        <m:r>
                          <w:rPr>
                            <w:rFonts w:ascii="Cambria Math" w:eastAsia="Times New Roman" w:hAnsi="Cambria Math" w:cs="Arial"/>
                            <w:color w:val="595959" w:themeColor="text1" w:themeTint="A6"/>
                            <w:sz w:val="20"/>
                            <w:szCs w:val="20"/>
                            <w:lang w:eastAsia="es-ES_tradnl"/>
                          </w:rPr>
                          <m:t>n</m:t>
                        </m:r>
                      </m:sup>
                      <m:e>
                        <m:r>
                          <w:rPr>
                            <w:rFonts w:ascii="Cambria Math" w:eastAsia="Times New Roman" w:hAnsi="Cambria Math" w:cs="Arial"/>
                            <w:color w:val="595959" w:themeColor="text1" w:themeTint="A6"/>
                            <w:sz w:val="20"/>
                            <w:szCs w:val="20"/>
                            <w:lang w:eastAsia="es-ES_tradnl"/>
                          </w:rPr>
                          <m:t>MS</m:t>
                        </m:r>
                      </m:e>
                    </m:nary>
                    <m:r>
                      <w:rPr>
                        <w:rFonts w:ascii="Cambria Math" w:eastAsia="Times New Roman" w:hAnsi="Cambria Math" w:cs="Arial"/>
                        <w:color w:val="595959" w:themeColor="text1" w:themeTint="A6"/>
                        <w:sz w:val="20"/>
                        <w:szCs w:val="20"/>
                        <w:lang w:eastAsia="es-ES_tradnl"/>
                      </w:rPr>
                      <m:t xml:space="preserve">   </m:t>
                    </m:r>
                  </m:num>
                  <m:den>
                    <m:nary>
                      <m:naryPr>
                        <m:chr m:val="∑"/>
                        <m:limLoc m:val="undOvr"/>
                        <m:ctrlPr>
                          <w:rPr>
                            <w:rFonts w:ascii="Cambria Math" w:eastAsia="Times New Roman" w:hAnsi="Cambria Math" w:cs="Arial"/>
                            <w:i/>
                            <w:color w:val="595959" w:themeColor="text1" w:themeTint="A6"/>
                            <w:sz w:val="20"/>
                            <w:szCs w:val="20"/>
                            <w:lang w:eastAsia="es-ES_tradnl"/>
                          </w:rPr>
                        </m:ctrlPr>
                      </m:naryPr>
                      <m:sub>
                        <m:r>
                          <w:rPr>
                            <w:rFonts w:ascii="Cambria Math" w:eastAsia="Times New Roman" w:hAnsi="Cambria Math" w:cs="Arial"/>
                            <w:color w:val="595959" w:themeColor="text1" w:themeTint="A6"/>
                            <w:sz w:val="20"/>
                            <w:szCs w:val="20"/>
                            <w:lang w:eastAsia="es-ES_tradnl"/>
                          </w:rPr>
                          <m:t>i=1</m:t>
                        </m:r>
                      </m:sub>
                      <m:sup>
                        <m:r>
                          <w:rPr>
                            <w:rFonts w:ascii="Cambria Math" w:eastAsia="Times New Roman" w:hAnsi="Cambria Math" w:cs="Arial"/>
                            <w:color w:val="595959" w:themeColor="text1" w:themeTint="A6"/>
                            <w:sz w:val="20"/>
                            <w:szCs w:val="20"/>
                            <w:lang w:eastAsia="es-ES_tradnl"/>
                          </w:rPr>
                          <m:t>n</m:t>
                        </m:r>
                      </m:sup>
                      <m:e>
                        <m:r>
                          <w:rPr>
                            <w:rFonts w:ascii="Cambria Math" w:eastAsia="Times New Roman" w:hAnsi="Cambria Math" w:cs="Arial"/>
                            <w:color w:val="595959" w:themeColor="text1" w:themeTint="A6"/>
                            <w:sz w:val="20"/>
                            <w:szCs w:val="20"/>
                            <w:lang w:eastAsia="es-ES_tradnl"/>
                          </w:rPr>
                          <m:t>PEPE</m:t>
                        </m:r>
                      </m:e>
                    </m:nary>
                  </m:den>
                </m:f>
                <m:r>
                  <w:rPr>
                    <w:rFonts w:ascii="Cambria Math" w:eastAsia="Times New Roman" w:hAnsi="Cambria Math" w:cs="Arial"/>
                    <w:color w:val="595959" w:themeColor="text1" w:themeTint="A6"/>
                    <w:sz w:val="20"/>
                    <w:szCs w:val="20"/>
                    <w:lang w:eastAsia="es-ES_tradnl"/>
                  </w:rPr>
                  <m:t>/12</m:t>
                </m:r>
              </m:oMath>
            </m:oMathPara>
          </w:p>
          <w:p w14:paraId="2EE3DE64" w14:textId="77777777" w:rsidR="00BF7001" w:rsidRDefault="000D4214" w:rsidP="000D4214">
            <w:pPr>
              <w:pStyle w:val="Prrafodelista"/>
              <w:ind w:left="0"/>
              <w:jc w:val="left"/>
              <w:rPr>
                <w:rFonts w:ascii="Century Gothic" w:eastAsia="Calibri" w:hAnsi="Century Gothic" w:cs="Times New Roman"/>
                <w:color w:val="595959" w:themeColor="text1" w:themeTint="A6"/>
                <w:szCs w:val="20"/>
              </w:rPr>
            </w:pPr>
            <w:r w:rsidRPr="000D4214">
              <w:rPr>
                <w:rFonts w:ascii="Century Gothic" w:eastAsia="Calibri" w:hAnsi="Century Gothic" w:cs="Times New Roman"/>
                <w:color w:val="595959" w:themeColor="text1" w:themeTint="A6"/>
                <w:szCs w:val="20"/>
              </w:rPr>
              <w:t>En donde:</w:t>
            </w:r>
          </w:p>
          <w:p w14:paraId="48C812F0" w14:textId="77777777" w:rsidR="00251ECD" w:rsidRDefault="00251ECD" w:rsidP="000D4214">
            <w:pPr>
              <w:pStyle w:val="Prrafodelista"/>
              <w:ind w:left="0"/>
              <w:jc w:val="left"/>
              <w:rPr>
                <w:rFonts w:ascii="Century Gothic" w:eastAsia="Calibri" w:hAnsi="Century Gothic" w:cs="Times New Roman"/>
                <w:color w:val="595959" w:themeColor="text1" w:themeTint="A6"/>
                <w:szCs w:val="20"/>
              </w:rPr>
            </w:pPr>
          </w:p>
          <w:p w14:paraId="48C80F6F" w14:textId="425EAAAB" w:rsidR="000D4214" w:rsidRPr="000D4214" w:rsidRDefault="000D4214" w:rsidP="000D4214">
            <w:pPr>
              <w:pStyle w:val="Prrafodelista"/>
              <w:ind w:left="0"/>
              <w:rPr>
                <w:rFonts w:ascii="Century Gothic" w:eastAsia="Times New Roman" w:hAnsi="Century Gothic" w:cs="Arial"/>
                <w:color w:val="595959" w:themeColor="text1" w:themeTint="A6"/>
                <w:szCs w:val="20"/>
                <w:lang w:val="es-ES_tradnl" w:eastAsia="es-ES_tradnl"/>
              </w:rPr>
            </w:pPr>
            <m:oMath>
              <m:r>
                <m:rPr>
                  <m:sty m:val="bi"/>
                </m:rPr>
                <w:rPr>
                  <w:rFonts w:ascii="Cambria Math" w:eastAsia="Times New Roman" w:hAnsi="Cambria Math" w:cs="Arial"/>
                  <w:color w:val="595959" w:themeColor="text1" w:themeTint="A6"/>
                  <w:szCs w:val="20"/>
                  <w:lang w:val="es-ES_tradnl" w:eastAsia="es-ES_tradnl"/>
                </w:rPr>
                <m:t>IRPA</m:t>
              </m:r>
              <m:r>
                <m:rPr>
                  <m:sty m:val="p"/>
                </m:rPr>
                <w:rPr>
                  <w:rFonts w:ascii="Cambria Math" w:eastAsia="Times New Roman" w:hAnsi="Cambria Math" w:cs="Arial"/>
                  <w:color w:val="595959" w:themeColor="text1" w:themeTint="A6"/>
                  <w:szCs w:val="20"/>
                  <w:lang w:val="es-ES_tradnl" w:eastAsia="es-ES_tradnl"/>
                </w:rPr>
                <m:t xml:space="preserve"> </m:t>
              </m:r>
              <m:r>
                <m:rPr>
                  <m:sty m:val="bi"/>
                </m:rPr>
                <w:rPr>
                  <w:rFonts w:ascii="Cambria Math" w:eastAsia="Times New Roman" w:hAnsi="Cambria Math" w:cs="Arial"/>
                  <w:color w:val="595959" w:themeColor="text1" w:themeTint="A6"/>
                  <w:szCs w:val="20"/>
                  <w:lang w:val="es-ES_tradnl" w:eastAsia="es-ES_tradnl"/>
                </w:rPr>
                <m:t>o</m:t>
              </m:r>
              <m:r>
                <m:rPr>
                  <m:sty m:val="p"/>
                </m:rPr>
                <w:rPr>
                  <w:rFonts w:ascii="Cambria Math" w:eastAsia="Times New Roman" w:hAnsi="Cambria Math" w:cs="Arial"/>
                  <w:color w:val="595959" w:themeColor="text1" w:themeTint="A6"/>
                  <w:szCs w:val="20"/>
                  <w:lang w:val="es-ES_tradnl" w:eastAsia="es-ES_tradnl"/>
                </w:rPr>
                <m:t xml:space="preserve"> </m:t>
              </m:r>
              <m:r>
                <m:rPr>
                  <m:sty m:val="bi"/>
                </m:rPr>
                <w:rPr>
                  <w:rFonts w:ascii="Cambria Math" w:eastAsia="Times New Roman" w:hAnsi="Cambria Math" w:cs="Arial"/>
                  <w:color w:val="595959" w:themeColor="text1" w:themeTint="A6"/>
                  <w:szCs w:val="20"/>
                  <w:lang w:val="es-ES_tradnl" w:eastAsia="es-ES_tradnl"/>
                </w:rPr>
                <m:t>IRPM</m:t>
              </m:r>
              <m:r>
                <m:rPr>
                  <m:sty m:val="p"/>
                </m:rPr>
                <w:rPr>
                  <w:rFonts w:ascii="Cambria Math" w:eastAsia="Times New Roman" w:hAnsi="Cambria Math" w:cs="Arial"/>
                  <w:color w:val="595959" w:themeColor="text1" w:themeTint="A6"/>
                  <w:szCs w:val="20"/>
                  <w:lang w:val="es-ES_tradnl" w:eastAsia="es-ES_tradnl"/>
                </w:rPr>
                <m:t>:</m:t>
              </m:r>
            </m:oMath>
            <w:r w:rsidRPr="000D4214">
              <w:rPr>
                <w:rFonts w:ascii="Century Gothic" w:eastAsia="Times New Roman" w:hAnsi="Century Gothic" w:cs="Arial"/>
                <w:color w:val="595959" w:themeColor="text1" w:themeTint="A6"/>
                <w:szCs w:val="20"/>
                <w:lang w:val="es-ES_tradnl" w:eastAsia="es-ES_tradnl"/>
              </w:rPr>
              <w:t xml:space="preserve"> </w:t>
            </w:r>
            <w:sdt>
              <w:sdtPr>
                <w:rPr>
                  <w:rFonts w:ascii="Century Gothic" w:eastAsia="Times New Roman" w:hAnsi="Century Gothic"/>
                  <w:color w:val="595959" w:themeColor="text1" w:themeTint="A6"/>
                  <w:lang w:val="es-ES_tradnl" w:eastAsia="es-ES_tradnl"/>
                </w:rPr>
                <w:id w:val="1150256790"/>
                <w:placeholder>
                  <w:docPart w:val="F86EA0F7B37349FC88574AE67CA56980"/>
                </w:placeholder>
              </w:sdtPr>
              <w:sdtEndPr>
                <w:rPr>
                  <w:rFonts w:cs="Arial"/>
                  <w:szCs w:val="20"/>
                </w:rPr>
              </w:sdtEndPr>
              <w:sdtContent>
                <w:r w:rsidRPr="000D4214">
                  <w:rPr>
                    <w:rFonts w:ascii="Century Gothic" w:eastAsia="Times New Roman" w:hAnsi="Century Gothic" w:cs="Arial"/>
                    <w:color w:val="595959" w:themeColor="text1" w:themeTint="A6"/>
                    <w:szCs w:val="20"/>
                    <w:lang w:val="es-ES_tradnl" w:eastAsia="es-ES_tradnl"/>
                  </w:rPr>
                  <w:t>Índice de Remuneraciones Promedio anuales o mensuales de las empresas del DIEE</w:t>
                </w:r>
                <w:r>
                  <w:rPr>
                    <w:rFonts w:ascii="Century Gothic" w:eastAsia="Times New Roman" w:hAnsi="Century Gothic" w:cs="Arial"/>
                    <w:color w:val="595959" w:themeColor="text1" w:themeTint="A6"/>
                    <w:szCs w:val="20"/>
                    <w:lang w:val="es-ES_tradnl" w:eastAsia="es-ES_tradnl"/>
                  </w:rPr>
                  <w:t>.</w:t>
                </w:r>
              </w:sdtContent>
            </w:sdt>
          </w:p>
          <w:p w14:paraId="4EF89AE8" w14:textId="24472322" w:rsidR="000D4214" w:rsidRDefault="007D4D27" w:rsidP="000D4214">
            <w:pPr>
              <w:pStyle w:val="Prrafodelista"/>
              <w:spacing w:after="0"/>
              <w:ind w:left="0"/>
              <w:rPr>
                <w:rFonts w:ascii="Century Gothic" w:eastAsia="Calibri" w:hAnsi="Century Gothic" w:cs="Times New Roman"/>
                <w:color w:val="595959" w:themeColor="text1" w:themeTint="A6"/>
                <w:szCs w:val="20"/>
              </w:rPr>
            </w:pPr>
            <m:oMath>
              <m:nary>
                <m:naryPr>
                  <m:chr m:val="∑"/>
                  <m:limLoc m:val="subSup"/>
                  <m:ctrlPr>
                    <w:rPr>
                      <w:rFonts w:ascii="Cambria Math" w:eastAsia="Times New Roman" w:hAnsi="Cambria Math" w:cs="Arial"/>
                      <w:b/>
                      <w:bCs/>
                      <w:i/>
                      <w:iCs/>
                      <w:color w:val="595959" w:themeColor="text1" w:themeTint="A6"/>
                      <w:szCs w:val="20"/>
                      <w:lang w:val="es-ES_tradnl" w:eastAsia="es-ES_tradnl"/>
                    </w:rPr>
                  </m:ctrlPr>
                </m:naryPr>
                <m:sub>
                  <m:r>
                    <m:rPr>
                      <m:sty m:val="bi"/>
                    </m:rPr>
                    <w:rPr>
                      <w:rFonts w:ascii="Cambria Math" w:eastAsia="Times New Roman" w:hAnsi="Cambria Math" w:cs="Arial"/>
                      <w:color w:val="595959" w:themeColor="text1" w:themeTint="A6"/>
                      <w:szCs w:val="20"/>
                      <w:lang w:val="es-ES_tradnl" w:eastAsia="es-ES_tradnl"/>
                    </w:rPr>
                    <m:t>i=1</m:t>
                  </m:r>
                </m:sub>
                <m:sup>
                  <m:r>
                    <m:rPr>
                      <m:sty m:val="bi"/>
                    </m:rPr>
                    <w:rPr>
                      <w:rFonts w:ascii="Cambria Math" w:eastAsia="Times New Roman" w:hAnsi="Cambria Math" w:cs="Arial"/>
                      <w:color w:val="595959" w:themeColor="text1" w:themeTint="A6"/>
                      <w:szCs w:val="20"/>
                      <w:lang w:val="es-ES_tradnl" w:eastAsia="es-ES_tradnl"/>
                    </w:rPr>
                    <m:t>n</m:t>
                  </m:r>
                </m:sup>
                <m:e>
                  <m:r>
                    <m:rPr>
                      <m:sty m:val="bi"/>
                    </m:rPr>
                    <w:rPr>
                      <w:rFonts w:ascii="Cambria Math" w:eastAsia="Times New Roman" w:hAnsi="Cambria Math" w:cs="Arial"/>
                      <w:color w:val="595959" w:themeColor="text1" w:themeTint="A6"/>
                      <w:szCs w:val="20"/>
                      <w:lang w:val="es-ES_tradnl" w:eastAsia="es-ES_tradnl"/>
                    </w:rPr>
                    <m:t xml:space="preserve">MS: </m:t>
                  </m:r>
                </m:e>
              </m:nary>
            </m:oMath>
            <w:r w:rsidR="000D4214">
              <w:rPr>
                <w:rStyle w:val="Textoennegrita"/>
                <w:rFonts w:cs="Arial"/>
                <w:szCs w:val="20"/>
              </w:rPr>
              <w:t xml:space="preserve"> </w:t>
            </w:r>
            <w:sdt>
              <w:sdtPr>
                <w:rPr>
                  <w:rFonts w:ascii="Century Gothic" w:eastAsia="Times New Roman" w:hAnsi="Century Gothic"/>
                  <w:color w:val="595959" w:themeColor="text1" w:themeTint="A6"/>
                  <w:lang w:val="es-ES_tradnl" w:eastAsia="es-ES_tradnl"/>
                </w:rPr>
                <w:id w:val="-1014072567"/>
                <w:placeholder>
                  <w:docPart w:val="717419649ED046939910855B185CC455"/>
                </w:placeholder>
              </w:sdtPr>
              <w:sdtEndPr>
                <w:rPr>
                  <w:rFonts w:cs="Arial"/>
                  <w:szCs w:val="20"/>
                </w:rPr>
              </w:sdtEndPr>
              <w:sdtContent>
                <w:r w:rsidR="000D4214" w:rsidRPr="000D4214">
                  <w:rPr>
                    <w:rFonts w:ascii="Century Gothic" w:eastAsia="Times New Roman" w:hAnsi="Century Gothic" w:cs="Arial"/>
                    <w:color w:val="595959" w:themeColor="text1" w:themeTint="A6"/>
                    <w:szCs w:val="20"/>
                    <w:lang w:val="es-ES_tradnl" w:eastAsia="es-ES_tradnl"/>
                  </w:rPr>
                  <w:t>Sumatoria de las remuneración</w:t>
                </w:r>
                <w:r w:rsidR="000D4214">
                  <w:rPr>
                    <w:rFonts w:ascii="Century Gothic" w:eastAsia="Times New Roman" w:hAnsi="Century Gothic" w:cs="Arial"/>
                    <w:color w:val="595959" w:themeColor="text1" w:themeTint="A6"/>
                    <w:szCs w:val="20"/>
                    <w:lang w:val="es-ES_tradnl" w:eastAsia="es-ES_tradnl"/>
                  </w:rPr>
                  <w:t xml:space="preserve"> </w:t>
                </w:r>
                <w:r w:rsidR="000D4214" w:rsidRPr="000D4214">
                  <w:rPr>
                    <w:rFonts w:ascii="Century Gothic" w:eastAsia="Times New Roman" w:hAnsi="Century Gothic" w:cs="Arial"/>
                    <w:color w:val="595959" w:themeColor="text1" w:themeTint="A6"/>
                    <w:szCs w:val="20"/>
                    <w:lang w:val="es-ES_tradnl" w:eastAsia="es-ES_tradnl"/>
                  </w:rPr>
                  <w:t>es (i igual  1 hasta n).</w:t>
                </w:r>
                <w:r w:rsidR="000D4214">
                  <w:rPr>
                    <w:rFonts w:ascii="Century Gothic" w:eastAsia="Times New Roman" w:hAnsi="Century Gothic" w:cs="Arial"/>
                    <w:color w:val="595959" w:themeColor="text1" w:themeTint="A6"/>
                    <w:szCs w:val="20"/>
                    <w:lang w:val="es-ES_tradnl" w:eastAsia="es-ES_tradnl"/>
                  </w:rPr>
                  <w:t xml:space="preserve"> </w:t>
                </w:r>
              </w:sdtContent>
            </w:sdt>
          </w:p>
          <w:p w14:paraId="37F8AE58" w14:textId="4B515BDE" w:rsidR="000D4214" w:rsidRDefault="007D4D27" w:rsidP="000D4214">
            <w:pPr>
              <w:jc w:val="both"/>
              <w:rPr>
                <w:rFonts w:cs="Arial"/>
                <w:szCs w:val="20"/>
              </w:rPr>
            </w:pPr>
            <m:oMath>
              <m:nary>
                <m:naryPr>
                  <m:chr m:val="∑"/>
                  <m:limLoc m:val="subSup"/>
                  <m:ctrlPr>
                    <w:rPr>
                      <w:rFonts w:ascii="Cambria Math" w:eastAsia="Times New Roman" w:hAnsi="Cambria Math" w:cs="Arial"/>
                      <w:b/>
                      <w:bCs/>
                      <w:i/>
                      <w:iCs/>
                      <w:color w:val="595959" w:themeColor="text1" w:themeTint="A6"/>
                      <w:sz w:val="20"/>
                      <w:szCs w:val="20"/>
                      <w:lang w:val="es-ES_tradnl" w:eastAsia="es-ES_tradnl"/>
                    </w:rPr>
                  </m:ctrlPr>
                </m:naryPr>
                <m:sub>
                  <m:r>
                    <m:rPr>
                      <m:sty m:val="bi"/>
                    </m:rPr>
                    <w:rPr>
                      <w:rFonts w:ascii="Cambria Math" w:eastAsia="Times New Roman" w:hAnsi="Cambria Math" w:cs="Arial"/>
                      <w:color w:val="595959" w:themeColor="text1" w:themeTint="A6"/>
                      <w:sz w:val="20"/>
                      <w:szCs w:val="20"/>
                      <w:lang w:val="es-ES_tradnl" w:eastAsia="es-ES_tradnl"/>
                    </w:rPr>
                    <m:t>i=1</m:t>
                  </m:r>
                </m:sub>
                <m:sup>
                  <m:r>
                    <m:rPr>
                      <m:sty m:val="bi"/>
                    </m:rPr>
                    <w:rPr>
                      <w:rFonts w:ascii="Cambria Math" w:eastAsia="Times New Roman" w:hAnsi="Cambria Math" w:cs="Arial"/>
                      <w:color w:val="595959" w:themeColor="text1" w:themeTint="A6"/>
                      <w:sz w:val="20"/>
                      <w:szCs w:val="20"/>
                      <w:lang w:val="es-ES_tradnl" w:eastAsia="es-ES_tradnl"/>
                    </w:rPr>
                    <m:t>n</m:t>
                  </m:r>
                </m:sup>
                <m:e>
                  <m:r>
                    <m:rPr>
                      <m:sty m:val="bi"/>
                    </m:rPr>
                    <w:rPr>
                      <w:rFonts w:ascii="Cambria Math" w:eastAsia="Times New Roman" w:hAnsi="Cambria Math" w:cs="Arial"/>
                      <w:color w:val="595959" w:themeColor="text1" w:themeTint="A6"/>
                      <w:sz w:val="20"/>
                      <w:szCs w:val="20"/>
                      <w:lang w:val="es-ES_tradnl" w:eastAsia="es-ES_tradnl"/>
                    </w:rPr>
                    <m:t xml:space="preserve">PERE: </m:t>
                  </m:r>
                </m:e>
              </m:nary>
            </m:oMath>
            <w:r w:rsidR="000D4214">
              <w:rPr>
                <w:rStyle w:val="Textoennegrita"/>
                <w:rFonts w:cs="Arial"/>
                <w:szCs w:val="20"/>
              </w:rPr>
              <w:t xml:space="preserve"> </w:t>
            </w:r>
            <w:sdt>
              <w:sdtPr>
                <w:rPr>
                  <w:rFonts w:ascii="Century Gothic" w:eastAsia="Times New Roman" w:hAnsi="Century Gothic"/>
                  <w:color w:val="595959" w:themeColor="text1" w:themeTint="A6"/>
                  <w:lang w:val="es-ES_tradnl" w:eastAsia="es-ES_tradnl"/>
                </w:rPr>
                <w:id w:val="-2030632373"/>
                <w:placeholder>
                  <w:docPart w:val="CFDF213D8B1D43968C6852E167BC7043"/>
                </w:placeholder>
              </w:sdtPr>
              <w:sdtEndPr>
                <w:rPr>
                  <w:rFonts w:cs="Arial"/>
                  <w:sz w:val="20"/>
                  <w:szCs w:val="20"/>
                </w:rPr>
              </w:sdtEndPr>
              <w:sdtContent>
                <w:r w:rsidR="000D4214" w:rsidRPr="000D4214">
                  <w:rPr>
                    <w:rFonts w:ascii="Century Gothic" w:eastAsia="Times New Roman" w:hAnsi="Century Gothic" w:cs="Arial"/>
                    <w:color w:val="595959" w:themeColor="text1" w:themeTint="A6"/>
                    <w:sz w:val="20"/>
                    <w:szCs w:val="20"/>
                    <w:lang w:val="es-ES_tradnl" w:eastAsia="es-ES_tradnl"/>
                  </w:rPr>
                  <w:t>Sumatoria de las Plazas del Empleo Registrado Equivalente (i igual a 1 hasta n).</w:t>
                </w:r>
              </w:sdtContent>
            </w:sdt>
          </w:p>
          <w:p w14:paraId="2749D900" w14:textId="77777777" w:rsidR="000D4214" w:rsidRDefault="000D4214" w:rsidP="000D4214">
            <w:pPr>
              <w:jc w:val="both"/>
              <w:rPr>
                <w:rFonts w:ascii="Cambria Math" w:eastAsia="Times New Roman" w:hAnsi="Cambria Math" w:cs="Arial"/>
                <w:b/>
                <w:bCs/>
                <w:i/>
                <w:iCs/>
                <w:color w:val="595959" w:themeColor="text1" w:themeTint="A6"/>
                <w:sz w:val="20"/>
                <w:szCs w:val="20"/>
                <w:lang w:val="es-ES_tradnl" w:eastAsia="es-ES_tradnl"/>
              </w:rPr>
            </w:pPr>
            <m:oMath>
              <m:r>
                <m:rPr>
                  <m:sty m:val="bi"/>
                </m:rPr>
                <w:rPr>
                  <w:rFonts w:ascii="Cambria Math" w:eastAsia="Times New Roman" w:hAnsi="Cambria Math" w:cs="Arial"/>
                  <w:color w:val="595959" w:themeColor="text1" w:themeTint="A6"/>
                  <w:sz w:val="20"/>
                  <w:szCs w:val="20"/>
                  <w:lang w:val="es-ES_tradnl" w:eastAsia="es-ES_tradnl"/>
                </w:rPr>
                <m:t>12:</m:t>
              </m:r>
            </m:oMath>
            <w:r w:rsidRPr="000D4214">
              <w:rPr>
                <w:rFonts w:ascii="Cambria Math" w:eastAsia="Times New Roman" w:hAnsi="Cambria Math" w:cs="Arial"/>
                <w:b/>
                <w:bCs/>
                <w:i/>
                <w:iCs/>
                <w:color w:val="595959" w:themeColor="text1" w:themeTint="A6"/>
                <w:sz w:val="20"/>
                <w:szCs w:val="20"/>
                <w:lang w:val="es-ES_tradnl" w:eastAsia="es-ES_tradnl"/>
              </w:rPr>
              <w:t xml:space="preserve"> </w:t>
            </w:r>
          </w:p>
          <w:sdt>
            <w:sdtPr>
              <w:rPr>
                <w:rStyle w:val="Estilo7"/>
                <w:rFonts w:cs="Arial"/>
                <w:szCs w:val="20"/>
              </w:rPr>
              <w:id w:val="1063298930"/>
              <w:placeholder>
                <w:docPart w:val="7F7AA18A04D14D12A23E9ED6E53884F0"/>
              </w:placeholder>
            </w:sdtPr>
            <w:sdtEndPr>
              <w:rPr>
                <w:rStyle w:val="Fuentedeprrafopredeter"/>
                <w:rFonts w:asciiTheme="minorHAnsi" w:hAnsiTheme="minorHAnsi"/>
                <w:color w:val="auto"/>
                <w:sz w:val="24"/>
              </w:rPr>
            </w:sdtEndPr>
            <w:sdtContent>
              <w:p w14:paraId="6F055C08" w14:textId="2739DA63" w:rsidR="000D4214" w:rsidRPr="000D4214" w:rsidRDefault="000D4214" w:rsidP="00251ECD">
                <w:pPr>
                  <w:jc w:val="both"/>
                </w:pPr>
                <w:r w:rsidRPr="000D4214">
                  <w:rPr>
                    <w:rFonts w:ascii="Century Gothic" w:eastAsia="Times New Roman" w:hAnsi="Century Gothic" w:cs="Arial"/>
                    <w:color w:val="595959" w:themeColor="text1" w:themeTint="A6"/>
                    <w:sz w:val="20"/>
                    <w:szCs w:val="20"/>
                    <w:lang w:val="es-ES_tradnl" w:eastAsia="es-ES_tradnl"/>
                  </w:rPr>
                  <w:t>Para calcular las Remuneraciones Promedio de las empresas del DIEE mensuales</w:t>
                </w:r>
              </w:p>
            </w:sdtContent>
          </w:sdt>
        </w:tc>
      </w:tr>
    </w:tbl>
    <w:p w14:paraId="4EC4A427" w14:textId="040FB0A2" w:rsidR="001C1B91" w:rsidRDefault="001C1B91" w:rsidP="00595069">
      <w:pPr>
        <w:autoSpaceDE w:val="0"/>
        <w:autoSpaceDN w:val="0"/>
        <w:adjustRightInd w:val="0"/>
        <w:jc w:val="both"/>
        <w:rPr>
          <w:rFonts w:ascii="Century Gothic" w:hAnsi="Century Gothic"/>
          <w:color w:val="595959" w:themeColor="text1" w:themeTint="A6"/>
          <w:sz w:val="16"/>
          <w:szCs w:val="16"/>
        </w:rPr>
      </w:pPr>
      <w:r w:rsidRPr="00443329">
        <w:rPr>
          <w:rFonts w:ascii="Century Gothic" w:hAnsi="Century Gothic"/>
          <w:b/>
          <w:color w:val="595959" w:themeColor="text1" w:themeTint="A6"/>
          <w:sz w:val="16"/>
          <w:szCs w:val="16"/>
        </w:rPr>
        <w:t xml:space="preserve">Fuente: </w:t>
      </w:r>
      <w:r w:rsidRPr="000D4214">
        <w:rPr>
          <w:rFonts w:ascii="Century Gothic" w:hAnsi="Century Gothic"/>
          <w:color w:val="595959" w:themeColor="text1" w:themeTint="A6"/>
          <w:sz w:val="16"/>
          <w:szCs w:val="16"/>
        </w:rPr>
        <w:t>INEC -</w:t>
      </w:r>
      <w:r w:rsidRPr="00443329">
        <w:rPr>
          <w:rFonts w:ascii="Century Gothic" w:hAnsi="Century Gothic"/>
          <w:b/>
          <w:color w:val="595959" w:themeColor="text1" w:themeTint="A6"/>
          <w:sz w:val="16"/>
          <w:szCs w:val="16"/>
        </w:rPr>
        <w:t xml:space="preserve"> </w:t>
      </w:r>
      <w:r w:rsidRPr="00443329">
        <w:rPr>
          <w:rFonts w:ascii="Century Gothic" w:hAnsi="Century Gothic"/>
          <w:color w:val="595959" w:themeColor="text1" w:themeTint="A6"/>
          <w:sz w:val="16"/>
          <w:szCs w:val="16"/>
        </w:rPr>
        <w:t>Directorio de</w:t>
      </w:r>
      <w:r w:rsidR="000E25E0">
        <w:rPr>
          <w:rFonts w:ascii="Century Gothic" w:hAnsi="Century Gothic"/>
          <w:color w:val="595959" w:themeColor="text1" w:themeTint="A6"/>
          <w:sz w:val="16"/>
          <w:szCs w:val="16"/>
        </w:rPr>
        <w:t xml:space="preserve"> Empresas y Establecimientos 202</w:t>
      </w:r>
      <w:r w:rsidR="00FA722B">
        <w:rPr>
          <w:rFonts w:ascii="Century Gothic" w:hAnsi="Century Gothic"/>
          <w:color w:val="595959" w:themeColor="text1" w:themeTint="A6"/>
          <w:sz w:val="16"/>
          <w:szCs w:val="16"/>
        </w:rPr>
        <w:t>1</w:t>
      </w:r>
      <w:r w:rsidRPr="00443329">
        <w:rPr>
          <w:rFonts w:ascii="Century Gothic" w:hAnsi="Century Gothic"/>
          <w:color w:val="595959" w:themeColor="text1" w:themeTint="A6"/>
          <w:sz w:val="16"/>
          <w:szCs w:val="16"/>
        </w:rPr>
        <w:t>.</w:t>
      </w:r>
    </w:p>
    <w:p w14:paraId="1FA77D81" w14:textId="778692AE" w:rsidR="001056B6" w:rsidRDefault="001056B6" w:rsidP="00CF0C1E">
      <w:pPr>
        <w:autoSpaceDE w:val="0"/>
        <w:autoSpaceDN w:val="0"/>
        <w:adjustRightInd w:val="0"/>
        <w:rPr>
          <w:rFonts w:ascii="Century Gothic" w:hAnsi="Century Gothic"/>
          <w:color w:val="595959" w:themeColor="text1" w:themeTint="A6"/>
          <w:sz w:val="16"/>
          <w:szCs w:val="16"/>
        </w:rPr>
      </w:pPr>
    </w:p>
    <w:p w14:paraId="2298B5F9" w14:textId="77777777" w:rsidR="00494A92" w:rsidRDefault="00494A92" w:rsidP="00CF0C1E">
      <w:pPr>
        <w:autoSpaceDE w:val="0"/>
        <w:autoSpaceDN w:val="0"/>
        <w:adjustRightInd w:val="0"/>
        <w:jc w:val="center"/>
        <w:rPr>
          <w:rFonts w:ascii="Century Gothic" w:hAnsi="Century Gothic"/>
          <w:color w:val="595959" w:themeColor="text1" w:themeTint="A6"/>
        </w:rPr>
      </w:pPr>
    </w:p>
    <w:p w14:paraId="7AEE774C" w14:textId="77777777" w:rsidR="00492810" w:rsidRPr="00D318FF" w:rsidRDefault="00492810" w:rsidP="00443329">
      <w:pPr>
        <w:pStyle w:val="SUBTITULOINEC"/>
        <w:ind w:left="708"/>
        <w:jc w:val="left"/>
        <w:rPr>
          <w:sz w:val="32"/>
        </w:rPr>
      </w:pPr>
      <w:bookmarkStart w:id="211" w:name="_Toc53757438"/>
      <w:r w:rsidRPr="00D318FF">
        <w:rPr>
          <w:sz w:val="32"/>
        </w:rPr>
        <w:t>2.1.4 Tabulados</w:t>
      </w:r>
      <w:bookmarkEnd w:id="211"/>
    </w:p>
    <w:p w14:paraId="29638C9B" w14:textId="77777777" w:rsidR="00492810"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Los principales tabulados que se generan del Directorio de Empresas y Establecimientos, a partir de la base de datos de empresas se esquematizan en la siguiente tabla:</w:t>
      </w:r>
    </w:p>
    <w:p w14:paraId="63BF68B2" w14:textId="77777777" w:rsidR="00EA10B1" w:rsidRDefault="00EA10B1" w:rsidP="00492810">
      <w:pPr>
        <w:pStyle w:val="Descripcin"/>
        <w:spacing w:after="0" w:line="276" w:lineRule="auto"/>
        <w:jc w:val="left"/>
        <w:rPr>
          <w:rFonts w:ascii="Century Gothic" w:hAnsi="Century Gothic"/>
          <w:color w:val="595959" w:themeColor="text1" w:themeTint="A6"/>
          <w:sz w:val="24"/>
        </w:rPr>
      </w:pPr>
    </w:p>
    <w:p w14:paraId="41A54AC1" w14:textId="069A2D10" w:rsidR="00492810" w:rsidRPr="00443329" w:rsidRDefault="00492810" w:rsidP="00492810">
      <w:pPr>
        <w:pStyle w:val="Descripcin"/>
        <w:spacing w:after="0" w:line="276" w:lineRule="auto"/>
        <w:jc w:val="left"/>
        <w:rPr>
          <w:rFonts w:ascii="Century Gothic" w:hAnsi="Century Gothic"/>
          <w:color w:val="595959" w:themeColor="text1" w:themeTint="A6"/>
          <w:sz w:val="24"/>
        </w:rPr>
      </w:pPr>
      <w:bookmarkStart w:id="212" w:name="_Toc117591183"/>
      <w:r w:rsidRPr="00443329">
        <w:rPr>
          <w:rFonts w:ascii="Century Gothic" w:hAnsi="Century Gothic"/>
          <w:color w:val="595959" w:themeColor="text1" w:themeTint="A6"/>
          <w:sz w:val="24"/>
        </w:rPr>
        <w:t xml:space="preserve">Tabla </w:t>
      </w:r>
      <w:r w:rsidRPr="00443329">
        <w:rPr>
          <w:rFonts w:ascii="Century Gothic" w:hAnsi="Century Gothic"/>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sz w:val="24"/>
        </w:rPr>
        <w:fldChar w:fldCharType="separate"/>
      </w:r>
      <w:r w:rsidR="004E3F87">
        <w:rPr>
          <w:rFonts w:ascii="Century Gothic" w:hAnsi="Century Gothic"/>
          <w:noProof/>
          <w:color w:val="595959" w:themeColor="text1" w:themeTint="A6"/>
          <w:sz w:val="24"/>
        </w:rPr>
        <w:t>7</w:t>
      </w:r>
      <w:r w:rsidRPr="00443329">
        <w:rPr>
          <w:rFonts w:ascii="Century Gothic" w:hAnsi="Century Gothic"/>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Plan de tabulados</w:t>
      </w:r>
      <w:bookmarkEnd w:id="212"/>
    </w:p>
    <w:tbl>
      <w:tblPr>
        <w:tblW w:w="909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6"/>
        <w:gridCol w:w="7776"/>
      </w:tblGrid>
      <w:tr w:rsidR="00CF0C1E" w:rsidRPr="00527E0F" w14:paraId="3C120D3C" w14:textId="77777777" w:rsidTr="00492810">
        <w:trPr>
          <w:trHeight w:val="144"/>
        </w:trPr>
        <w:tc>
          <w:tcPr>
            <w:tcW w:w="1316" w:type="dxa"/>
            <w:shd w:val="clear" w:color="auto" w:fill="1F3864" w:themeFill="accent1" w:themeFillShade="80"/>
            <w:vAlign w:val="center"/>
          </w:tcPr>
          <w:p w14:paraId="7D31B489" w14:textId="77777777" w:rsidR="00492810" w:rsidRPr="00443329" w:rsidRDefault="00492810" w:rsidP="00492810">
            <w:pPr>
              <w:pStyle w:val="Sinespaciado"/>
              <w:jc w:val="center"/>
              <w:rPr>
                <w:rFonts w:ascii="Century Gothic" w:hAnsi="Century Gothic"/>
                <w:b/>
                <w:color w:val="FFFFFF" w:themeColor="background1"/>
                <w:sz w:val="24"/>
              </w:rPr>
            </w:pPr>
            <w:r w:rsidRPr="00443329">
              <w:rPr>
                <w:rFonts w:ascii="Century Gothic" w:hAnsi="Century Gothic"/>
                <w:b/>
                <w:color w:val="FFFFFF" w:themeColor="background1"/>
                <w:sz w:val="24"/>
              </w:rPr>
              <w:t>Sección</w:t>
            </w:r>
          </w:p>
        </w:tc>
        <w:tc>
          <w:tcPr>
            <w:tcW w:w="7776" w:type="dxa"/>
            <w:shd w:val="clear" w:color="auto" w:fill="1F3864" w:themeFill="accent1" w:themeFillShade="80"/>
            <w:noWrap/>
            <w:vAlign w:val="center"/>
            <w:hideMark/>
          </w:tcPr>
          <w:p w14:paraId="76E7F795" w14:textId="77777777" w:rsidR="00492810" w:rsidRPr="00443329" w:rsidRDefault="00492810" w:rsidP="00492810">
            <w:pPr>
              <w:pStyle w:val="Sinespaciado"/>
              <w:jc w:val="center"/>
              <w:rPr>
                <w:rFonts w:ascii="Century Gothic" w:hAnsi="Century Gothic"/>
                <w:b/>
                <w:color w:val="FFFFFF" w:themeColor="background1"/>
                <w:sz w:val="24"/>
              </w:rPr>
            </w:pPr>
            <w:r w:rsidRPr="00443329">
              <w:rPr>
                <w:rFonts w:ascii="Century Gothic" w:hAnsi="Century Gothic"/>
                <w:b/>
                <w:color w:val="FFFFFF" w:themeColor="background1"/>
                <w:sz w:val="24"/>
              </w:rPr>
              <w:t>Tema</w:t>
            </w:r>
          </w:p>
        </w:tc>
      </w:tr>
      <w:tr w:rsidR="00CF0C1E" w:rsidRPr="00527E0F" w14:paraId="4F7E9479" w14:textId="77777777" w:rsidTr="00492810">
        <w:trPr>
          <w:trHeight w:val="144"/>
        </w:trPr>
        <w:tc>
          <w:tcPr>
            <w:tcW w:w="1316" w:type="dxa"/>
            <w:shd w:val="clear" w:color="000000" w:fill="FFFFFF"/>
            <w:vAlign w:val="center"/>
          </w:tcPr>
          <w:p w14:paraId="1B928540" w14:textId="77777777" w:rsidR="00492810" w:rsidRPr="00443329" w:rsidRDefault="00492810" w:rsidP="00492810">
            <w:pPr>
              <w:pStyle w:val="Sinespaciado"/>
              <w:rPr>
                <w:rFonts w:ascii="Century Gothic" w:hAnsi="Century Gothic"/>
                <w:color w:val="595959" w:themeColor="text1" w:themeTint="A6"/>
                <w:sz w:val="24"/>
              </w:rPr>
            </w:pPr>
            <w:r w:rsidRPr="00443329">
              <w:rPr>
                <w:rFonts w:ascii="Century Gothic" w:hAnsi="Century Gothic"/>
                <w:color w:val="595959" w:themeColor="text1" w:themeTint="A6"/>
                <w:sz w:val="24"/>
              </w:rPr>
              <w:t>Sección I</w:t>
            </w:r>
          </w:p>
        </w:tc>
        <w:tc>
          <w:tcPr>
            <w:tcW w:w="7776" w:type="dxa"/>
            <w:shd w:val="clear" w:color="000000" w:fill="FFFFFF"/>
            <w:noWrap/>
            <w:vAlign w:val="center"/>
            <w:hideMark/>
          </w:tcPr>
          <w:p w14:paraId="5F0EA28B" w14:textId="77777777" w:rsidR="00492810" w:rsidRPr="00443329" w:rsidRDefault="00492810" w:rsidP="00EA10B1">
            <w:pPr>
              <w:pStyle w:val="Sinespaciad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Información de número de empresas</w:t>
            </w:r>
          </w:p>
        </w:tc>
      </w:tr>
      <w:tr w:rsidR="00CF0C1E" w:rsidRPr="00527E0F" w14:paraId="3B55D621" w14:textId="77777777" w:rsidTr="00492810">
        <w:trPr>
          <w:trHeight w:val="144"/>
        </w:trPr>
        <w:tc>
          <w:tcPr>
            <w:tcW w:w="1316" w:type="dxa"/>
            <w:shd w:val="clear" w:color="000000" w:fill="FFFFFF"/>
          </w:tcPr>
          <w:p w14:paraId="4612C7F7" w14:textId="77777777" w:rsidR="00492810" w:rsidRPr="00443329" w:rsidRDefault="00492810" w:rsidP="00492810">
            <w:pPr>
              <w:pStyle w:val="Sinespaciado"/>
              <w:rPr>
                <w:rFonts w:ascii="Century Gothic" w:hAnsi="Century Gothic"/>
                <w:color w:val="595959" w:themeColor="text1" w:themeTint="A6"/>
                <w:sz w:val="24"/>
              </w:rPr>
            </w:pPr>
            <w:r w:rsidRPr="00443329">
              <w:rPr>
                <w:rFonts w:ascii="Century Gothic" w:hAnsi="Century Gothic"/>
                <w:color w:val="595959" w:themeColor="text1" w:themeTint="A6"/>
                <w:sz w:val="24"/>
              </w:rPr>
              <w:t>Sección II</w:t>
            </w:r>
          </w:p>
        </w:tc>
        <w:tc>
          <w:tcPr>
            <w:tcW w:w="7776" w:type="dxa"/>
            <w:shd w:val="clear" w:color="000000" w:fill="FFFFFF"/>
            <w:noWrap/>
            <w:vAlign w:val="center"/>
            <w:hideMark/>
          </w:tcPr>
          <w:p w14:paraId="598E18AF" w14:textId="77777777" w:rsidR="00492810" w:rsidRPr="00443329" w:rsidRDefault="00492810" w:rsidP="00EA10B1">
            <w:pPr>
              <w:pStyle w:val="Sinespaciad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Información de ventas</w:t>
            </w:r>
          </w:p>
        </w:tc>
      </w:tr>
      <w:tr w:rsidR="00CF0C1E" w:rsidRPr="00527E0F" w14:paraId="7DC3D1AA" w14:textId="77777777" w:rsidTr="00492810">
        <w:trPr>
          <w:trHeight w:val="144"/>
        </w:trPr>
        <w:tc>
          <w:tcPr>
            <w:tcW w:w="1316" w:type="dxa"/>
            <w:shd w:val="clear" w:color="000000" w:fill="FFFFFF"/>
          </w:tcPr>
          <w:p w14:paraId="670480AF" w14:textId="77777777" w:rsidR="00492810" w:rsidRPr="00443329" w:rsidRDefault="00492810" w:rsidP="00492810">
            <w:pPr>
              <w:pStyle w:val="Sinespaciado"/>
              <w:rPr>
                <w:rFonts w:ascii="Century Gothic" w:hAnsi="Century Gothic"/>
                <w:color w:val="595959" w:themeColor="text1" w:themeTint="A6"/>
                <w:sz w:val="24"/>
              </w:rPr>
            </w:pPr>
            <w:r w:rsidRPr="00443329">
              <w:rPr>
                <w:rFonts w:ascii="Century Gothic" w:hAnsi="Century Gothic"/>
                <w:color w:val="595959" w:themeColor="text1" w:themeTint="A6"/>
                <w:sz w:val="24"/>
              </w:rPr>
              <w:t>Sección III</w:t>
            </w:r>
          </w:p>
        </w:tc>
        <w:tc>
          <w:tcPr>
            <w:tcW w:w="7776" w:type="dxa"/>
            <w:shd w:val="clear" w:color="000000" w:fill="FFFFFF"/>
            <w:noWrap/>
            <w:vAlign w:val="center"/>
            <w:hideMark/>
          </w:tcPr>
          <w:p w14:paraId="32C9AB77" w14:textId="6A911DEC" w:rsidR="00492810" w:rsidRPr="00443329" w:rsidRDefault="00492810" w:rsidP="00EA10B1">
            <w:pPr>
              <w:pStyle w:val="Sinespaciad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Información de plazas de empleo registrado, empleo registrado y masa salarial</w:t>
            </w:r>
          </w:p>
        </w:tc>
      </w:tr>
      <w:tr w:rsidR="00CF0C1E" w:rsidRPr="00527E0F" w14:paraId="13291B6E" w14:textId="77777777" w:rsidTr="00492810">
        <w:trPr>
          <w:trHeight w:val="144"/>
        </w:trPr>
        <w:tc>
          <w:tcPr>
            <w:tcW w:w="1316" w:type="dxa"/>
            <w:shd w:val="clear" w:color="000000" w:fill="FFFFFF"/>
          </w:tcPr>
          <w:p w14:paraId="5C4F5400" w14:textId="77777777" w:rsidR="00492810" w:rsidRPr="00443329" w:rsidRDefault="00492810" w:rsidP="00492810">
            <w:pPr>
              <w:pStyle w:val="Sinespaciado"/>
              <w:rPr>
                <w:rFonts w:ascii="Century Gothic" w:hAnsi="Century Gothic"/>
                <w:color w:val="595959" w:themeColor="text1" w:themeTint="A6"/>
                <w:sz w:val="24"/>
              </w:rPr>
            </w:pPr>
            <w:r w:rsidRPr="00443329">
              <w:rPr>
                <w:rFonts w:ascii="Century Gothic" w:hAnsi="Century Gothic"/>
                <w:color w:val="595959" w:themeColor="text1" w:themeTint="A6"/>
                <w:sz w:val="24"/>
              </w:rPr>
              <w:t>Sección IV</w:t>
            </w:r>
          </w:p>
        </w:tc>
        <w:tc>
          <w:tcPr>
            <w:tcW w:w="7776" w:type="dxa"/>
            <w:shd w:val="clear" w:color="000000" w:fill="FFFFFF"/>
            <w:noWrap/>
            <w:vAlign w:val="center"/>
            <w:hideMark/>
          </w:tcPr>
          <w:p w14:paraId="6A567DE8" w14:textId="77777777" w:rsidR="00492810" w:rsidRPr="00443329" w:rsidRDefault="00492810" w:rsidP="00EA10B1">
            <w:pPr>
              <w:pStyle w:val="Sinespaciad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Información de número de empresas, ventas, plazas de empleo registrado, empleo registrado y masa salarial (actividades productivas)</w:t>
            </w:r>
          </w:p>
        </w:tc>
      </w:tr>
    </w:tbl>
    <w:p w14:paraId="2B0DFEE3" w14:textId="77777777" w:rsidR="00492810" w:rsidRPr="00527E0F" w:rsidRDefault="00492810" w:rsidP="00443329">
      <w:pPr>
        <w:spacing w:before="240"/>
        <w:jc w:val="both"/>
        <w:rPr>
          <w:rFonts w:ascii="Century Gothic" w:hAnsi="Century Gothic"/>
          <w:color w:val="595959" w:themeColor="text1" w:themeTint="A6"/>
        </w:rPr>
      </w:pPr>
      <w:r w:rsidRPr="00527E0F">
        <w:rPr>
          <w:rFonts w:ascii="Century Gothic" w:hAnsi="Century Gothic"/>
          <w:color w:val="595959" w:themeColor="text1" w:themeTint="A6"/>
        </w:rPr>
        <w:t>El detalle de los tabulados se muestra en el Anexo 3.</w:t>
      </w:r>
      <w:r w:rsidRPr="00527E0F" w:rsidDel="002D14AB">
        <w:rPr>
          <w:rFonts w:ascii="Century Gothic" w:hAnsi="Century Gothic"/>
          <w:color w:val="595959" w:themeColor="text1" w:themeTint="A6"/>
        </w:rPr>
        <w:t xml:space="preserve"> </w:t>
      </w:r>
    </w:p>
    <w:p w14:paraId="3EF7307B" w14:textId="77777777" w:rsidR="001056B6" w:rsidRDefault="001056B6" w:rsidP="00443329">
      <w:pPr>
        <w:jc w:val="both"/>
        <w:rPr>
          <w:rFonts w:ascii="Century Gothic" w:hAnsi="Century Gothic"/>
          <w:color w:val="595959" w:themeColor="text1" w:themeTint="A6"/>
        </w:rPr>
      </w:pPr>
    </w:p>
    <w:p w14:paraId="52F81F95" w14:textId="3EEDAC49" w:rsidR="00492810" w:rsidRPr="00527E0F" w:rsidRDefault="00492810" w:rsidP="00443329">
      <w:pPr>
        <w:jc w:val="both"/>
        <w:rPr>
          <w:rFonts w:ascii="Century Gothic" w:hAnsi="Century Gothic"/>
          <w:color w:val="595959" w:themeColor="text1" w:themeTint="A6"/>
        </w:rPr>
      </w:pPr>
      <w:r w:rsidRPr="00527E0F">
        <w:rPr>
          <w:rFonts w:ascii="Century Gothic" w:hAnsi="Century Gothic"/>
          <w:color w:val="595959" w:themeColor="text1" w:themeTint="A6"/>
        </w:rPr>
        <w:t>De la base de datos de establecimientos no se generan tabulados ni otro producto estadístico debido a que la información no recibe tratamiento.</w:t>
      </w:r>
    </w:p>
    <w:p w14:paraId="13E07E29" w14:textId="77777777" w:rsidR="00492810" w:rsidRPr="00527E0F" w:rsidRDefault="00492810" w:rsidP="00CF0C1E">
      <w:pPr>
        <w:rPr>
          <w:rFonts w:ascii="Century Gothic" w:hAnsi="Century Gothic"/>
          <w:color w:val="595959" w:themeColor="text1" w:themeTint="A6"/>
        </w:rPr>
      </w:pPr>
    </w:p>
    <w:p w14:paraId="26549502" w14:textId="0D2D4E09" w:rsidR="00492810" w:rsidRPr="00176DC8" w:rsidRDefault="00492810" w:rsidP="009E6870">
      <w:pPr>
        <w:pStyle w:val="SUBTITULOINEC"/>
        <w:numPr>
          <w:ilvl w:val="1"/>
          <w:numId w:val="34"/>
        </w:numPr>
        <w:jc w:val="both"/>
        <w:rPr>
          <w:sz w:val="32"/>
          <w:szCs w:val="32"/>
        </w:rPr>
      </w:pPr>
      <w:bookmarkStart w:id="213" w:name="_Toc53757439"/>
      <w:bookmarkStart w:id="214" w:name="_Toc412998131"/>
      <w:bookmarkEnd w:id="206"/>
      <w:r w:rsidRPr="00176DC8">
        <w:rPr>
          <w:sz w:val="32"/>
          <w:szCs w:val="32"/>
        </w:rPr>
        <w:t>Diseño y construcción de la recolección/captación</w:t>
      </w:r>
      <w:bookmarkEnd w:id="213"/>
    </w:p>
    <w:p w14:paraId="15E5245A" w14:textId="77777777" w:rsidR="00492810" w:rsidRPr="00443329" w:rsidRDefault="00492810" w:rsidP="00492810">
      <w:pPr>
        <w:pStyle w:val="Sinespaciado"/>
        <w:rPr>
          <w:rFonts w:ascii="Century Gothic" w:hAnsi="Century Gothic"/>
          <w:sz w:val="24"/>
        </w:rPr>
      </w:pPr>
    </w:p>
    <w:p w14:paraId="12B05422"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 construcción del Directorio de Empresas y Establecimientos se realiza a partir de la integración de dos fuentes primarias (SRI e IESS), las cuales poseen diferente formato o motores de bases de datos, y por tanto distintos modos de transmisión. Por esto, es necesaria la ejecución de procesos ETL’s</w:t>
      </w:r>
      <w:r w:rsidRPr="00443329">
        <w:rPr>
          <w:rFonts w:ascii="Century Gothic" w:hAnsi="Century Gothic"/>
          <w:color w:val="595959" w:themeColor="text1" w:themeTint="A6"/>
          <w:sz w:val="24"/>
          <w:vertAlign w:val="superscript"/>
        </w:rPr>
        <w:footnoteReference w:id="15"/>
      </w:r>
      <w:r w:rsidRPr="00443329">
        <w:rPr>
          <w:rFonts w:ascii="Century Gothic" w:hAnsi="Century Gothic"/>
          <w:color w:val="595959" w:themeColor="text1" w:themeTint="A6"/>
          <w:sz w:val="24"/>
        </w:rPr>
        <w:t xml:space="preserve"> para extraer y transformar toda la información hacia un solo formato definido para el DIEE.</w:t>
      </w:r>
    </w:p>
    <w:p w14:paraId="1198621D"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1DF8AA22"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Para la recolección de información desde las fuentes primarias, el INEC utiliza métodos de recolección automática definidos previamente en los Convenios de Intercambio de Información. La información que llega desde estas fuentes externas fluye automáticamente por un canal de comunicación propio de las instituciones públicas. La información que proviene continuamente por este canal es depositada en un servidor seguro a cargo de la Dirección de Registros Administrativos del INEC. Para las principales fuentes de información la Dirección de Registros Administrativos realiza la recopilación, perfilamiento, estandarización de variables, validación de consistencia de identificadores como cédulas o RUC del IESS, generación de nuevas variables y finalmente la entrega de la información hacia el área productora del tratamiento estadístico, delimitando previamente el período de tiempo para el cual se requiere la información, generalmente un año fiscal.</w:t>
      </w:r>
    </w:p>
    <w:p w14:paraId="67A3ABA6"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0CFCDC38"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Las principales variables de contribuyentes que proporciona el SRI son las siguientes:</w:t>
      </w:r>
    </w:p>
    <w:p w14:paraId="334DDEFB" w14:textId="77777777" w:rsidR="00583347" w:rsidRDefault="00583347" w:rsidP="00583347">
      <w:pPr>
        <w:pStyle w:val="Sinespaciado"/>
        <w:spacing w:line="276" w:lineRule="auto"/>
        <w:ind w:left="709"/>
        <w:jc w:val="both"/>
        <w:rPr>
          <w:rFonts w:ascii="Century Gothic" w:hAnsi="Century Gothic"/>
          <w:color w:val="595959" w:themeColor="text1" w:themeTint="A6"/>
          <w:sz w:val="24"/>
        </w:rPr>
      </w:pPr>
    </w:p>
    <w:p w14:paraId="5B990CCF"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RUC</w:t>
      </w:r>
    </w:p>
    <w:p w14:paraId="198D5172"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Razón Social</w:t>
      </w:r>
    </w:p>
    <w:p w14:paraId="5D7A39A2"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Nombre comercial</w:t>
      </w:r>
    </w:p>
    <w:p w14:paraId="3501F709"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Tipo de contribuyente</w:t>
      </w:r>
    </w:p>
    <w:p w14:paraId="276EDF6D"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Actividad económica</w:t>
      </w:r>
    </w:p>
    <w:p w14:paraId="637E1331"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Ubicación geográfica de su domicilio fiscal.</w:t>
      </w:r>
    </w:p>
    <w:p w14:paraId="76B31A49"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Contactos</w:t>
      </w:r>
    </w:p>
    <w:p w14:paraId="50045A67"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Estado de establecimientos</w:t>
      </w:r>
    </w:p>
    <w:p w14:paraId="520D133C"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Estado de persona natural</w:t>
      </w:r>
    </w:p>
    <w:p w14:paraId="5AA7BB43"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Estado de sociedad</w:t>
      </w:r>
    </w:p>
    <w:p w14:paraId="6FC7EAB4"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631D8840" w14:textId="5FF45FC4" w:rsidR="00D766DB" w:rsidRDefault="00492810" w:rsidP="00492810">
      <w:pPr>
        <w:pStyle w:val="Sinespaciado"/>
        <w:spacing w:line="276" w:lineRule="auto"/>
        <w:jc w:val="both"/>
        <w:rPr>
          <w:rFonts w:ascii="Century Gothic" w:hAnsi="Century Gothic"/>
          <w:color w:val="595959" w:themeColor="text1" w:themeTint="A6"/>
          <w:sz w:val="24"/>
        </w:rPr>
      </w:pPr>
      <w:r w:rsidRPr="00C421CD">
        <w:rPr>
          <w:rFonts w:ascii="Century Gothic" w:hAnsi="Century Gothic"/>
          <w:color w:val="595959" w:themeColor="text1" w:themeTint="A6"/>
          <w:sz w:val="24"/>
        </w:rPr>
        <w:t xml:space="preserve">Adicionalmente, el SRI proporciona información correspondiente a los ingresos declarados por ventas. Estos datos son tomados de los campos de los formularios de impuesto a la renta (F101 y F102) </w:t>
      </w:r>
      <w:r w:rsidR="00033847" w:rsidRPr="00C421CD">
        <w:rPr>
          <w:rFonts w:ascii="Century Gothic" w:hAnsi="Century Gothic"/>
          <w:color w:val="595959" w:themeColor="text1" w:themeTint="A6"/>
          <w:sz w:val="24"/>
        </w:rPr>
        <w:t xml:space="preserve">de acuerdo </w:t>
      </w:r>
      <w:r w:rsidR="00C421CD">
        <w:rPr>
          <w:rFonts w:ascii="Century Gothic" w:hAnsi="Century Gothic"/>
          <w:color w:val="595959" w:themeColor="text1" w:themeTint="A6"/>
          <w:sz w:val="24"/>
        </w:rPr>
        <w:t xml:space="preserve">al </w:t>
      </w:r>
      <w:r w:rsidRPr="00C421CD">
        <w:rPr>
          <w:rFonts w:ascii="Century Gothic" w:hAnsi="Century Gothic"/>
          <w:color w:val="595959" w:themeColor="text1" w:themeTint="A6"/>
          <w:sz w:val="24"/>
        </w:rPr>
        <w:t>período fiscal que corresponde la declaración del i</w:t>
      </w:r>
      <w:r w:rsidRPr="00B01C9F">
        <w:rPr>
          <w:rFonts w:ascii="Century Gothic" w:hAnsi="Century Gothic"/>
          <w:color w:val="595959" w:themeColor="text1" w:themeTint="A6"/>
          <w:sz w:val="24"/>
        </w:rPr>
        <w:t>mpuesto</w:t>
      </w:r>
      <w:r w:rsidR="00C421CD">
        <w:rPr>
          <w:rFonts w:ascii="Century Gothic" w:hAnsi="Century Gothic"/>
          <w:color w:val="595959" w:themeColor="text1" w:themeTint="A6"/>
          <w:sz w:val="24"/>
        </w:rPr>
        <w:t>.</w:t>
      </w:r>
      <w:r w:rsidR="00791457">
        <w:rPr>
          <w:rFonts w:ascii="Century Gothic" w:hAnsi="Century Gothic"/>
          <w:color w:val="595959" w:themeColor="text1" w:themeTint="A6"/>
          <w:sz w:val="24"/>
        </w:rPr>
        <w:t xml:space="preserve"> No obstante,</w:t>
      </w:r>
      <w:r w:rsidR="00D766DB">
        <w:rPr>
          <w:rFonts w:ascii="Century Gothic" w:hAnsi="Century Gothic"/>
          <w:color w:val="595959" w:themeColor="text1" w:themeTint="A6"/>
          <w:sz w:val="24"/>
        </w:rPr>
        <w:t xml:space="preserve"> se dispone información de esta fuente hasta el año 2020, ya que</w:t>
      </w:r>
      <w:r w:rsidR="00791457">
        <w:rPr>
          <w:rFonts w:ascii="Century Gothic" w:hAnsi="Century Gothic"/>
          <w:color w:val="595959" w:themeColor="text1" w:themeTint="A6"/>
          <w:sz w:val="24"/>
        </w:rPr>
        <w:t xml:space="preserve"> para la décima versión del Directorio de Empresas y Establecimientos 2021, no fue posible la tra</w:t>
      </w:r>
      <w:r w:rsidR="00D766DB">
        <w:rPr>
          <w:rFonts w:ascii="Century Gothic" w:hAnsi="Century Gothic"/>
          <w:color w:val="595959" w:themeColor="text1" w:themeTint="A6"/>
          <w:sz w:val="24"/>
        </w:rPr>
        <w:t>nsferencia de información</w:t>
      </w:r>
      <w:r w:rsidR="00B01C9F">
        <w:rPr>
          <w:rFonts w:ascii="Century Gothic" w:hAnsi="Century Gothic"/>
          <w:color w:val="595959" w:themeColor="text1" w:themeTint="A6"/>
          <w:sz w:val="24"/>
        </w:rPr>
        <w:t>, deb</w:t>
      </w:r>
      <w:r w:rsidR="00791457">
        <w:rPr>
          <w:rFonts w:ascii="Century Gothic" w:hAnsi="Century Gothic"/>
          <w:color w:val="595959" w:themeColor="text1" w:themeTint="A6"/>
          <w:sz w:val="24"/>
        </w:rPr>
        <w:t xml:space="preserve">ido a la culminación del convenio de intercambio de información </w:t>
      </w:r>
      <w:r w:rsidR="00D766DB">
        <w:rPr>
          <w:rFonts w:ascii="Century Gothic" w:hAnsi="Century Gothic"/>
          <w:color w:val="595959" w:themeColor="text1" w:themeTint="A6"/>
          <w:sz w:val="24"/>
        </w:rPr>
        <w:t>interinstitucional</w:t>
      </w:r>
      <w:r w:rsidR="00791457">
        <w:rPr>
          <w:rFonts w:ascii="Century Gothic" w:hAnsi="Century Gothic"/>
          <w:color w:val="595959" w:themeColor="text1" w:themeTint="A6"/>
          <w:sz w:val="24"/>
        </w:rPr>
        <w:t xml:space="preserve"> suscritos con el SRI.</w:t>
      </w:r>
      <w:r w:rsidR="00B01C9F">
        <w:rPr>
          <w:rFonts w:ascii="Century Gothic" w:hAnsi="Century Gothic"/>
          <w:color w:val="595959" w:themeColor="text1" w:themeTint="A6"/>
          <w:sz w:val="24"/>
        </w:rPr>
        <w:t xml:space="preserve"> Por lo tanto,</w:t>
      </w:r>
      <w:r w:rsidR="00D766DB">
        <w:rPr>
          <w:rFonts w:ascii="Century Gothic" w:hAnsi="Century Gothic"/>
          <w:color w:val="595959" w:themeColor="text1" w:themeTint="A6"/>
          <w:sz w:val="24"/>
        </w:rPr>
        <w:t xml:space="preserve"> dado que</w:t>
      </w:r>
      <w:r w:rsidR="00B01C9F">
        <w:rPr>
          <w:rFonts w:ascii="Century Gothic" w:hAnsi="Century Gothic"/>
          <w:color w:val="595959" w:themeColor="text1" w:themeTint="A6"/>
          <w:sz w:val="24"/>
        </w:rPr>
        <w:t xml:space="preserve"> para el 2021</w:t>
      </w:r>
      <w:r w:rsidR="00D766DB">
        <w:rPr>
          <w:rFonts w:ascii="Century Gothic" w:hAnsi="Century Gothic"/>
          <w:color w:val="595959" w:themeColor="text1" w:themeTint="A6"/>
          <w:sz w:val="24"/>
        </w:rPr>
        <w:t xml:space="preserve"> no se dispone de información de ventas totales, procedentes del SRI, se cambió la fuente de actualización de las empresas cuya información de ventas totales se insumía de los formularios del SRI.</w:t>
      </w:r>
    </w:p>
    <w:p w14:paraId="3AD2333F" w14:textId="77777777" w:rsidR="00B01C9F" w:rsidRDefault="00B01C9F" w:rsidP="00492810">
      <w:pPr>
        <w:pStyle w:val="Sinespaciado"/>
        <w:spacing w:line="276" w:lineRule="auto"/>
        <w:jc w:val="both"/>
        <w:rPr>
          <w:rFonts w:ascii="Century Gothic" w:hAnsi="Century Gothic"/>
          <w:color w:val="595959" w:themeColor="text1" w:themeTint="A6"/>
          <w:sz w:val="24"/>
        </w:rPr>
      </w:pPr>
    </w:p>
    <w:p w14:paraId="6383F4C6" w14:textId="50D76482" w:rsidR="00492810" w:rsidRPr="00443329" w:rsidRDefault="00B01C9F" w:rsidP="00492810">
      <w:pPr>
        <w:pStyle w:val="Sinespaciado"/>
        <w:spacing w:line="276" w:lineRule="auto"/>
        <w:jc w:val="both"/>
        <w:rPr>
          <w:rFonts w:ascii="Century Gothic" w:hAnsi="Century Gothic"/>
          <w:color w:val="595959" w:themeColor="text1" w:themeTint="A6"/>
          <w:sz w:val="24"/>
        </w:rPr>
      </w:pPr>
      <w:r>
        <w:rPr>
          <w:rFonts w:ascii="Century Gothic" w:hAnsi="Century Gothic"/>
          <w:color w:val="595959" w:themeColor="text1" w:themeTint="A6"/>
          <w:sz w:val="24"/>
        </w:rPr>
        <w:t xml:space="preserve"> Por tal motivo,</w:t>
      </w:r>
      <w:r w:rsidR="006B4D9D" w:rsidRPr="00C421CD">
        <w:rPr>
          <w:rFonts w:ascii="Century Gothic" w:hAnsi="Century Gothic"/>
          <w:color w:val="595959" w:themeColor="text1" w:themeTint="A6"/>
          <w:sz w:val="24"/>
        </w:rPr>
        <w:t xml:space="preserve"> para este año se recopilo información de otras fuentes como</w:t>
      </w:r>
      <w:r>
        <w:rPr>
          <w:rFonts w:ascii="Century Gothic" w:hAnsi="Century Gothic"/>
          <w:color w:val="595959" w:themeColor="text1" w:themeTint="A6"/>
          <w:sz w:val="24"/>
        </w:rPr>
        <w:t xml:space="preserve"> la</w:t>
      </w:r>
      <w:r w:rsidR="006B4D9D" w:rsidRPr="00C421CD">
        <w:rPr>
          <w:rFonts w:ascii="Century Gothic" w:hAnsi="Century Gothic"/>
          <w:color w:val="595959" w:themeColor="text1" w:themeTint="A6"/>
          <w:sz w:val="24"/>
        </w:rPr>
        <w:t xml:space="preserve"> Superintendencia de </w:t>
      </w:r>
      <w:r w:rsidR="00E813CF" w:rsidRPr="00C421CD">
        <w:rPr>
          <w:rFonts w:ascii="Century Gothic" w:hAnsi="Century Gothic"/>
          <w:color w:val="595959" w:themeColor="text1" w:themeTint="A6"/>
          <w:sz w:val="24"/>
        </w:rPr>
        <w:t>Compañías, Economía Popular y Solidaria, Superintendencia de Bancos, Encuesta Estructura</w:t>
      </w:r>
      <w:r w:rsidR="00673FC4">
        <w:rPr>
          <w:rFonts w:ascii="Century Gothic" w:hAnsi="Century Gothic"/>
          <w:color w:val="595959" w:themeColor="text1" w:themeTint="A6"/>
          <w:sz w:val="24"/>
        </w:rPr>
        <w:t>l</w:t>
      </w:r>
      <w:r w:rsidR="00E813CF" w:rsidRPr="00C421CD">
        <w:rPr>
          <w:rFonts w:ascii="Century Gothic" w:hAnsi="Century Gothic"/>
          <w:color w:val="595959" w:themeColor="text1" w:themeTint="A6"/>
          <w:sz w:val="24"/>
        </w:rPr>
        <w:t xml:space="preserve"> Empresarial,</w:t>
      </w:r>
      <w:r>
        <w:rPr>
          <w:rFonts w:ascii="Century Gothic" w:hAnsi="Century Gothic"/>
          <w:color w:val="595959" w:themeColor="text1" w:themeTint="A6"/>
          <w:sz w:val="24"/>
        </w:rPr>
        <w:t xml:space="preserve"> y además, se establecieron métodos de</w:t>
      </w:r>
      <w:r w:rsidR="00E813CF" w:rsidRPr="00C421CD">
        <w:rPr>
          <w:rFonts w:ascii="Century Gothic" w:hAnsi="Century Gothic"/>
          <w:color w:val="595959" w:themeColor="text1" w:themeTint="A6"/>
          <w:sz w:val="24"/>
        </w:rPr>
        <w:t xml:space="preserve"> </w:t>
      </w:r>
      <w:r>
        <w:rPr>
          <w:rFonts w:ascii="Century Gothic" w:hAnsi="Century Gothic"/>
          <w:color w:val="595959" w:themeColor="text1" w:themeTint="A6"/>
          <w:sz w:val="24"/>
        </w:rPr>
        <w:t>i</w:t>
      </w:r>
      <w:r w:rsidR="00303F16" w:rsidRPr="00C421CD">
        <w:rPr>
          <w:rFonts w:ascii="Century Gothic" w:hAnsi="Century Gothic"/>
          <w:color w:val="595959" w:themeColor="text1" w:themeTint="A6"/>
          <w:sz w:val="24"/>
        </w:rPr>
        <w:t>mputaci</w:t>
      </w:r>
      <w:r>
        <w:rPr>
          <w:rFonts w:ascii="Century Gothic" w:hAnsi="Century Gothic"/>
          <w:color w:val="595959" w:themeColor="text1" w:themeTint="A6"/>
          <w:sz w:val="24"/>
        </w:rPr>
        <w:t>ón</w:t>
      </w:r>
      <w:r w:rsidR="00303F16" w:rsidRPr="00C421CD">
        <w:rPr>
          <w:rFonts w:ascii="Century Gothic" w:hAnsi="Century Gothic"/>
          <w:color w:val="595959" w:themeColor="text1" w:themeTint="A6"/>
          <w:sz w:val="24"/>
        </w:rPr>
        <w:t>, entre otras</w:t>
      </w:r>
      <w:r w:rsidR="00D766DB">
        <w:rPr>
          <w:rFonts w:ascii="Century Gothic" w:hAnsi="Century Gothic"/>
          <w:color w:val="595959" w:themeColor="text1" w:themeTint="A6"/>
          <w:sz w:val="24"/>
        </w:rPr>
        <w:t>;</w:t>
      </w:r>
      <w:r w:rsidR="00492810" w:rsidRPr="00C421CD">
        <w:rPr>
          <w:rFonts w:ascii="Century Gothic" w:hAnsi="Century Gothic"/>
          <w:color w:val="595959" w:themeColor="text1" w:themeTint="A6"/>
          <w:sz w:val="24"/>
        </w:rPr>
        <w:t xml:space="preserve"> de los cuales se insume para el DIEE lo siguiente:</w:t>
      </w:r>
    </w:p>
    <w:p w14:paraId="585233A8"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6494AB2A"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netas de bienes con tarifa cero</w:t>
      </w:r>
    </w:p>
    <w:p w14:paraId="3677631E"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netas de bienes con tarifa diferente de cero</w:t>
      </w:r>
    </w:p>
    <w:p w14:paraId="1D224F37"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netas de servicios con tarifa cero</w:t>
      </w:r>
    </w:p>
    <w:p w14:paraId="4845B83D"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netas de servicios con tarifa diferente de cero</w:t>
      </w:r>
    </w:p>
    <w:p w14:paraId="35B9CC09"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Exportaciones netas de bienes</w:t>
      </w:r>
    </w:p>
    <w:p w14:paraId="33D540E0"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Exportaciones netas de servicios</w:t>
      </w:r>
    </w:p>
    <w:p w14:paraId="17268F6B"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comisiones</w:t>
      </w:r>
    </w:p>
    <w:p w14:paraId="3D58BEA2"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arrendamientos</w:t>
      </w:r>
    </w:p>
    <w:p w14:paraId="109620A0"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Ventas servicios construcción</w:t>
      </w:r>
    </w:p>
    <w:p w14:paraId="4AE4E808" w14:textId="77777777" w:rsidR="00D766DB" w:rsidRDefault="00D766DB" w:rsidP="00492810">
      <w:pPr>
        <w:pStyle w:val="Sinespaciado"/>
        <w:spacing w:line="276" w:lineRule="auto"/>
        <w:jc w:val="both"/>
        <w:rPr>
          <w:rFonts w:ascii="Century Gothic" w:hAnsi="Century Gothic"/>
          <w:color w:val="595959" w:themeColor="text1" w:themeTint="A6"/>
          <w:sz w:val="24"/>
        </w:rPr>
      </w:pPr>
    </w:p>
    <w:p w14:paraId="338B8DBC" w14:textId="77777777" w:rsidR="005E266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Junto a los tratamientos generales,</w:t>
      </w:r>
      <w:r w:rsidR="00B72763">
        <w:rPr>
          <w:rFonts w:ascii="Century Gothic" w:hAnsi="Century Gothic"/>
          <w:color w:val="595959" w:themeColor="text1" w:themeTint="A6"/>
          <w:sz w:val="24"/>
        </w:rPr>
        <w:t xml:space="preserve"> hasta el año 2019 existían</w:t>
      </w:r>
      <w:r w:rsidRPr="00443329">
        <w:rPr>
          <w:rFonts w:ascii="Century Gothic" w:hAnsi="Century Gothic"/>
          <w:color w:val="595959" w:themeColor="text1" w:themeTint="A6"/>
          <w:sz w:val="24"/>
        </w:rPr>
        <w:t xml:space="preserve"> salvedades como es el caso de las empresas financieras (bancos); para éstas, la info</w:t>
      </w:r>
      <w:r w:rsidR="00B72763">
        <w:rPr>
          <w:rFonts w:ascii="Century Gothic" w:hAnsi="Century Gothic"/>
          <w:color w:val="595959" w:themeColor="text1" w:themeTint="A6"/>
          <w:sz w:val="24"/>
        </w:rPr>
        <w:t>rmación de ventas que se incluía en el Directorio de Empresas era</w:t>
      </w:r>
      <w:r w:rsidRPr="00443329">
        <w:rPr>
          <w:rFonts w:ascii="Century Gothic" w:hAnsi="Century Gothic"/>
          <w:color w:val="595959" w:themeColor="text1" w:themeTint="A6"/>
          <w:sz w:val="24"/>
        </w:rPr>
        <w:t xml:space="preserve"> tomada de los balances publicados por la Superintendencia de Bancos</w:t>
      </w:r>
      <w:r w:rsidR="00B72763">
        <w:rPr>
          <w:rFonts w:ascii="Century Gothic" w:hAnsi="Century Gothic"/>
          <w:color w:val="595959" w:themeColor="text1" w:themeTint="A6"/>
          <w:sz w:val="24"/>
        </w:rPr>
        <w:t>, sin embargo, para el año 2020 se identificó que la información de ingresos publicada por la Superintendencia de Bancos correspondía al total de ingresos que estas mismas instituciones declaraban al SRI, por tanto para este año, la información de ingresos de estas instituciones financieras que incluye a bancos y cooperativas de ahorro y crédito se tomó  desde la declaración de renta realizada al SRI</w:t>
      </w:r>
      <w:r w:rsidR="00523EE8">
        <w:rPr>
          <w:rFonts w:ascii="Century Gothic" w:hAnsi="Century Gothic"/>
          <w:color w:val="595959" w:themeColor="text1" w:themeTint="A6"/>
          <w:sz w:val="24"/>
        </w:rPr>
        <w:t xml:space="preserve">. </w:t>
      </w:r>
    </w:p>
    <w:p w14:paraId="4034EE28" w14:textId="77777777" w:rsidR="005E2669" w:rsidRDefault="005E2669" w:rsidP="00492810">
      <w:pPr>
        <w:pStyle w:val="Sinespaciado"/>
        <w:spacing w:line="276" w:lineRule="auto"/>
        <w:jc w:val="both"/>
        <w:rPr>
          <w:rFonts w:ascii="Century Gothic" w:hAnsi="Century Gothic"/>
          <w:color w:val="595959" w:themeColor="text1" w:themeTint="A6"/>
          <w:sz w:val="24"/>
        </w:rPr>
      </w:pPr>
    </w:p>
    <w:p w14:paraId="251119B4" w14:textId="431A6683" w:rsidR="00492810" w:rsidRPr="00443329" w:rsidRDefault="00CD7162" w:rsidP="00492810">
      <w:pPr>
        <w:pStyle w:val="Sinespaciado"/>
        <w:spacing w:line="276" w:lineRule="auto"/>
        <w:jc w:val="both"/>
        <w:rPr>
          <w:rFonts w:ascii="Century Gothic" w:hAnsi="Century Gothic"/>
          <w:color w:val="595959" w:themeColor="text1" w:themeTint="A6"/>
          <w:sz w:val="24"/>
        </w:rPr>
      </w:pPr>
      <w:r>
        <w:rPr>
          <w:rFonts w:ascii="Century Gothic" w:hAnsi="Century Gothic"/>
          <w:color w:val="595959" w:themeColor="text1" w:themeTint="A6"/>
          <w:sz w:val="24"/>
        </w:rPr>
        <w:t xml:space="preserve">Empero, para </w:t>
      </w:r>
      <w:r w:rsidR="000D7290">
        <w:rPr>
          <w:rFonts w:ascii="Century Gothic" w:hAnsi="Century Gothic"/>
          <w:color w:val="595959" w:themeColor="text1" w:themeTint="A6"/>
          <w:sz w:val="24"/>
        </w:rPr>
        <w:t>el año 2021, la información de ventas para las empresas financieras (bancos y cooperativas)</w:t>
      </w:r>
      <w:r w:rsidR="00D766DB">
        <w:rPr>
          <w:rFonts w:ascii="Century Gothic" w:hAnsi="Century Gothic"/>
          <w:color w:val="595959" w:themeColor="text1" w:themeTint="A6"/>
          <w:sz w:val="24"/>
        </w:rPr>
        <w:t xml:space="preserve"> se obtuvo</w:t>
      </w:r>
      <w:r w:rsidR="0047372B">
        <w:rPr>
          <w:rFonts w:ascii="Century Gothic" w:hAnsi="Century Gothic"/>
          <w:color w:val="595959" w:themeColor="text1" w:themeTint="A6"/>
          <w:sz w:val="24"/>
        </w:rPr>
        <w:t xml:space="preserve"> de la Superintendencia de Bancos y Superintendencia de Economía Popular y Solidario (sector financiero) según corresponda</w:t>
      </w:r>
      <w:r w:rsidR="00D766DB">
        <w:rPr>
          <w:rFonts w:ascii="Century Gothic" w:hAnsi="Century Gothic"/>
          <w:color w:val="595959" w:themeColor="text1" w:themeTint="A6"/>
          <w:sz w:val="24"/>
        </w:rPr>
        <w:t>,</w:t>
      </w:r>
      <w:r w:rsidR="0047372B">
        <w:rPr>
          <w:rFonts w:ascii="Century Gothic" w:hAnsi="Century Gothic"/>
          <w:color w:val="595959" w:themeColor="text1" w:themeTint="A6"/>
          <w:sz w:val="24"/>
        </w:rPr>
        <w:t xml:space="preserve"> debido a que </w:t>
      </w:r>
      <w:r w:rsidR="00D766DB">
        <w:rPr>
          <w:rFonts w:ascii="Century Gothic" w:hAnsi="Century Gothic"/>
          <w:color w:val="595959" w:themeColor="text1" w:themeTint="A6"/>
          <w:sz w:val="24"/>
        </w:rPr>
        <w:t>también este segmento se vio afectado por la terminación d</w:t>
      </w:r>
      <w:r w:rsidR="0047372B">
        <w:rPr>
          <w:rFonts w:ascii="Century Gothic" w:hAnsi="Century Gothic"/>
          <w:color w:val="595959" w:themeColor="text1" w:themeTint="A6"/>
          <w:sz w:val="24"/>
        </w:rPr>
        <w:t>el convenio con el SRI</w:t>
      </w:r>
      <w:r>
        <w:rPr>
          <w:rFonts w:ascii="Century Gothic" w:hAnsi="Century Gothic"/>
          <w:color w:val="595959" w:themeColor="text1" w:themeTint="A6"/>
          <w:sz w:val="24"/>
        </w:rPr>
        <w:t>.</w:t>
      </w:r>
    </w:p>
    <w:p w14:paraId="1C13E4A3" w14:textId="5AD46111" w:rsidR="00492810" w:rsidRDefault="00492810" w:rsidP="00492810">
      <w:pPr>
        <w:pStyle w:val="Sinespaciado"/>
        <w:spacing w:line="276" w:lineRule="auto"/>
        <w:jc w:val="both"/>
        <w:rPr>
          <w:rFonts w:ascii="Century Gothic" w:hAnsi="Century Gothic"/>
          <w:color w:val="595959" w:themeColor="text1" w:themeTint="A6"/>
          <w:sz w:val="24"/>
        </w:rPr>
      </w:pPr>
    </w:p>
    <w:p w14:paraId="209CAB8F" w14:textId="537F3D92" w:rsidR="00B97009" w:rsidRDefault="00B97009" w:rsidP="00492810">
      <w:pPr>
        <w:pStyle w:val="Sinespaciado"/>
        <w:spacing w:line="276" w:lineRule="auto"/>
        <w:jc w:val="both"/>
        <w:rPr>
          <w:rFonts w:ascii="Century Gothic" w:hAnsi="Century Gothic"/>
          <w:color w:val="595959" w:themeColor="text1" w:themeTint="A6"/>
          <w:sz w:val="24"/>
        </w:rPr>
      </w:pPr>
      <w:r>
        <w:rPr>
          <w:rFonts w:ascii="Century Gothic" w:hAnsi="Century Gothic"/>
          <w:color w:val="595959" w:themeColor="text1" w:themeTint="A6"/>
          <w:sz w:val="24"/>
        </w:rPr>
        <w:t xml:space="preserve">Así mismo, durante </w:t>
      </w:r>
      <w:r w:rsidR="00D4022C">
        <w:rPr>
          <w:rFonts w:ascii="Century Gothic" w:hAnsi="Century Gothic"/>
          <w:color w:val="595959" w:themeColor="text1" w:themeTint="A6"/>
          <w:sz w:val="24"/>
        </w:rPr>
        <w:t>el año 2020</w:t>
      </w:r>
      <w:r>
        <w:rPr>
          <w:rFonts w:ascii="Century Gothic" w:hAnsi="Century Gothic"/>
          <w:color w:val="595959" w:themeColor="text1" w:themeTint="A6"/>
          <w:sz w:val="24"/>
        </w:rPr>
        <w:t>, se incrementó un ajuste de ingresos para las empresas que realizan una actividad económica relacionada a “clubes deportivos” y “actividades religiosas”, que consistió en incluir el rubro de ingresos por donaciones que consta en su declaración de renta</w:t>
      </w:r>
      <w:r w:rsidR="00CD7162">
        <w:rPr>
          <w:rFonts w:ascii="Century Gothic" w:hAnsi="Century Gothic"/>
          <w:color w:val="595959" w:themeColor="text1" w:themeTint="A6"/>
          <w:sz w:val="24"/>
        </w:rPr>
        <w:t xml:space="preserve">. </w:t>
      </w:r>
      <w:r w:rsidR="005511D3">
        <w:rPr>
          <w:rFonts w:ascii="Century Gothic" w:hAnsi="Century Gothic"/>
          <w:color w:val="595959" w:themeColor="text1" w:themeTint="A6"/>
          <w:sz w:val="24"/>
        </w:rPr>
        <w:t>Mientras que para el año 2021, d</w:t>
      </w:r>
      <w:r w:rsidR="00CD7162">
        <w:rPr>
          <w:rFonts w:ascii="Century Gothic" w:hAnsi="Century Gothic"/>
          <w:color w:val="595959" w:themeColor="text1" w:themeTint="A6"/>
          <w:sz w:val="24"/>
        </w:rPr>
        <w:t>icho ajuste de ingresos</w:t>
      </w:r>
      <w:r w:rsidR="00B47B78">
        <w:rPr>
          <w:rFonts w:ascii="Century Gothic" w:hAnsi="Century Gothic"/>
          <w:color w:val="595959" w:themeColor="text1" w:themeTint="A6"/>
          <w:sz w:val="24"/>
        </w:rPr>
        <w:t xml:space="preserve"> </w:t>
      </w:r>
      <w:r w:rsidR="00CD7162">
        <w:rPr>
          <w:rFonts w:ascii="Century Gothic" w:hAnsi="Century Gothic"/>
          <w:color w:val="595959" w:themeColor="text1" w:themeTint="A6"/>
          <w:sz w:val="24"/>
        </w:rPr>
        <w:t xml:space="preserve">no se aplicó </w:t>
      </w:r>
      <w:r w:rsidR="00B47B78">
        <w:rPr>
          <w:rFonts w:ascii="Century Gothic" w:hAnsi="Century Gothic"/>
          <w:color w:val="595959" w:themeColor="text1" w:themeTint="A6"/>
          <w:sz w:val="24"/>
        </w:rPr>
        <w:t xml:space="preserve">para </w:t>
      </w:r>
      <w:r w:rsidR="005511D3">
        <w:rPr>
          <w:rFonts w:ascii="Century Gothic" w:hAnsi="Century Gothic"/>
          <w:color w:val="595959" w:themeColor="text1" w:themeTint="A6"/>
          <w:sz w:val="24"/>
        </w:rPr>
        <w:t xml:space="preserve">aquellos </w:t>
      </w:r>
      <w:r w:rsidR="00B47B78">
        <w:rPr>
          <w:rFonts w:ascii="Century Gothic" w:hAnsi="Century Gothic"/>
          <w:color w:val="595959" w:themeColor="text1" w:themeTint="A6"/>
          <w:sz w:val="24"/>
        </w:rPr>
        <w:t>registros</w:t>
      </w:r>
      <w:r w:rsidR="005511D3">
        <w:rPr>
          <w:rFonts w:ascii="Century Gothic" w:hAnsi="Century Gothic"/>
          <w:color w:val="595959" w:themeColor="text1" w:themeTint="A6"/>
          <w:sz w:val="24"/>
        </w:rPr>
        <w:t xml:space="preserve"> en los cuales </w:t>
      </w:r>
      <w:r w:rsidR="00B47B78">
        <w:rPr>
          <w:rFonts w:ascii="Century Gothic" w:hAnsi="Century Gothic"/>
          <w:color w:val="595959" w:themeColor="text1" w:themeTint="A6"/>
          <w:sz w:val="24"/>
        </w:rPr>
        <w:t>sus ventas</w:t>
      </w:r>
      <w:r w:rsidR="005511D3">
        <w:rPr>
          <w:rFonts w:ascii="Century Gothic" w:hAnsi="Century Gothic"/>
          <w:color w:val="595959" w:themeColor="text1" w:themeTint="A6"/>
          <w:sz w:val="24"/>
        </w:rPr>
        <w:t xml:space="preserve"> provienen</w:t>
      </w:r>
      <w:r w:rsidR="00B47B78">
        <w:rPr>
          <w:rFonts w:ascii="Century Gothic" w:hAnsi="Century Gothic"/>
          <w:color w:val="595959" w:themeColor="text1" w:themeTint="A6"/>
          <w:sz w:val="24"/>
        </w:rPr>
        <w:t xml:space="preserve"> del SRI,  debido a las fuentes de las cuales se recuperó ventas totales</w:t>
      </w:r>
      <w:r>
        <w:rPr>
          <w:rFonts w:ascii="Century Gothic" w:hAnsi="Century Gothic"/>
          <w:color w:val="595959" w:themeColor="text1" w:themeTint="A6"/>
          <w:sz w:val="24"/>
        </w:rPr>
        <w:t>.</w:t>
      </w:r>
    </w:p>
    <w:p w14:paraId="29F6DAEB" w14:textId="77777777" w:rsidR="00B97009" w:rsidRPr="00443329" w:rsidRDefault="00B97009" w:rsidP="00492810">
      <w:pPr>
        <w:pStyle w:val="Sinespaciado"/>
        <w:spacing w:line="276" w:lineRule="auto"/>
        <w:jc w:val="both"/>
        <w:rPr>
          <w:rFonts w:ascii="Century Gothic" w:hAnsi="Century Gothic"/>
          <w:color w:val="595959" w:themeColor="text1" w:themeTint="A6"/>
          <w:sz w:val="24"/>
        </w:rPr>
      </w:pPr>
    </w:p>
    <w:p w14:paraId="4236F750" w14:textId="1FBCC765"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Otro tratamiento particular reciben las empresas públicas PETROECUADOR y PETROAMAZONAS, debido a la importancia que tienen en la economía nacional; dado que los ingresos por ventas se reportan en un solo balance de resultados, el procedimiento que se realiza para determinar las ventas de cada una de estas empresas consiste en identificar a partir del balance de resultados, los ingresos obten</w:t>
      </w:r>
      <w:r w:rsidR="00B97009">
        <w:rPr>
          <w:rFonts w:ascii="Century Gothic" w:hAnsi="Century Gothic"/>
          <w:color w:val="595959" w:themeColor="text1" w:themeTint="A6"/>
          <w:sz w:val="24"/>
        </w:rPr>
        <w:t>idos por actividades relacionada</w:t>
      </w:r>
      <w:r w:rsidRPr="00443329">
        <w:rPr>
          <w:rFonts w:ascii="Century Gothic" w:hAnsi="Century Gothic"/>
          <w:color w:val="595959" w:themeColor="text1" w:themeTint="A6"/>
          <w:sz w:val="24"/>
        </w:rPr>
        <w:t>s con la explotación de petróleo (Petroamazonas E.P) y los ingresos relacionados con la refinación o manufactura (Petroecuador E.P)</w:t>
      </w:r>
      <w:r w:rsidR="005511D3">
        <w:rPr>
          <w:rFonts w:ascii="Century Gothic" w:hAnsi="Century Gothic"/>
          <w:color w:val="595959" w:themeColor="text1" w:themeTint="A6"/>
          <w:sz w:val="24"/>
        </w:rPr>
        <w:t>. Para el año 2021, las ventas totales de este grupo se obtuvieron de la</w:t>
      </w:r>
      <w:r w:rsidR="003B4A6B">
        <w:rPr>
          <w:rFonts w:ascii="Century Gothic" w:hAnsi="Century Gothic"/>
          <w:color w:val="595959" w:themeColor="text1" w:themeTint="A6"/>
          <w:sz w:val="24"/>
        </w:rPr>
        <w:t xml:space="preserve">  Encuesta E</w:t>
      </w:r>
      <w:r w:rsidR="004C658F">
        <w:rPr>
          <w:rFonts w:ascii="Century Gothic" w:hAnsi="Century Gothic"/>
          <w:color w:val="595959" w:themeColor="text1" w:themeTint="A6"/>
          <w:sz w:val="24"/>
        </w:rPr>
        <w:t>structural</w:t>
      </w:r>
      <w:r w:rsidR="00583347">
        <w:rPr>
          <w:rFonts w:ascii="Century Gothic" w:hAnsi="Century Gothic"/>
          <w:color w:val="595959" w:themeColor="text1" w:themeTint="A6"/>
          <w:sz w:val="24"/>
        </w:rPr>
        <w:t xml:space="preserve"> </w:t>
      </w:r>
      <w:r w:rsidR="004C658F">
        <w:rPr>
          <w:rFonts w:ascii="Century Gothic" w:hAnsi="Century Gothic"/>
          <w:color w:val="595959" w:themeColor="text1" w:themeTint="A6"/>
          <w:sz w:val="24"/>
        </w:rPr>
        <w:t>Empresarial.</w:t>
      </w:r>
    </w:p>
    <w:p w14:paraId="51BA9772"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7E50D304" w14:textId="400113D3" w:rsidR="00492810" w:rsidRDefault="00492810" w:rsidP="00492810">
      <w:pPr>
        <w:pStyle w:val="Sinespaciado"/>
        <w:spacing w:line="276" w:lineRule="auto"/>
        <w:jc w:val="both"/>
        <w:rPr>
          <w:rFonts w:ascii="Century Gothic" w:hAnsi="Century Gothic"/>
          <w:color w:val="595959" w:themeColor="text1" w:themeTint="A6"/>
          <w:sz w:val="24"/>
        </w:rPr>
      </w:pPr>
      <w:r w:rsidRPr="00376946">
        <w:rPr>
          <w:rFonts w:ascii="Century Gothic" w:hAnsi="Century Gothic"/>
          <w:color w:val="595959" w:themeColor="text1" w:themeTint="A6"/>
          <w:sz w:val="24"/>
        </w:rPr>
        <w:t xml:space="preserve">De otra parte, el IESS proporciona el registro mensual de personal afiliado a la seguridad social. El INEC recibe información desde esta fuente de forma mensual, con rezago de dos meses. Para la incorporación del DIEE, se armoniza esta información a través de los indicadores del personal afiliado </w:t>
      </w:r>
      <w:r w:rsidR="00F502DC" w:rsidRPr="00376946">
        <w:rPr>
          <w:rFonts w:ascii="Century Gothic" w:hAnsi="Century Gothic"/>
          <w:color w:val="595959" w:themeColor="text1" w:themeTint="A6"/>
          <w:sz w:val="24"/>
        </w:rPr>
        <w:t xml:space="preserve">equivalente, </w:t>
      </w:r>
      <w:r w:rsidRPr="00376946">
        <w:rPr>
          <w:rFonts w:ascii="Century Gothic" w:hAnsi="Century Gothic"/>
          <w:color w:val="595959" w:themeColor="text1" w:themeTint="A6"/>
          <w:sz w:val="24"/>
        </w:rPr>
        <w:t>prom</w:t>
      </w:r>
      <w:r w:rsidR="00376946" w:rsidRPr="00376946">
        <w:rPr>
          <w:rFonts w:ascii="Century Gothic" w:hAnsi="Century Gothic"/>
          <w:color w:val="595959" w:themeColor="text1" w:themeTint="A6"/>
          <w:sz w:val="24"/>
        </w:rPr>
        <w:t>edio anual, promedio trimestral</w:t>
      </w:r>
      <w:r w:rsidRPr="00376946">
        <w:rPr>
          <w:rFonts w:ascii="Century Gothic" w:hAnsi="Century Gothic"/>
          <w:color w:val="595959" w:themeColor="text1" w:themeTint="A6"/>
          <w:sz w:val="24"/>
        </w:rPr>
        <w:t xml:space="preserve"> y el último declarado.</w:t>
      </w:r>
      <w:r w:rsidRPr="00443329">
        <w:rPr>
          <w:rFonts w:ascii="Century Gothic" w:hAnsi="Century Gothic"/>
          <w:color w:val="595959" w:themeColor="text1" w:themeTint="A6"/>
          <w:sz w:val="24"/>
        </w:rPr>
        <w:t xml:space="preserve"> </w:t>
      </w:r>
    </w:p>
    <w:p w14:paraId="323CC45B" w14:textId="77777777" w:rsidR="00376946" w:rsidRPr="00443329" w:rsidRDefault="00376946" w:rsidP="00492810">
      <w:pPr>
        <w:pStyle w:val="Sinespaciado"/>
        <w:spacing w:line="276" w:lineRule="auto"/>
        <w:jc w:val="both"/>
        <w:rPr>
          <w:rFonts w:ascii="Century Gothic" w:hAnsi="Century Gothic"/>
          <w:color w:val="595959" w:themeColor="text1" w:themeTint="A6"/>
          <w:sz w:val="24"/>
        </w:rPr>
      </w:pPr>
    </w:p>
    <w:p w14:paraId="3A42BC31"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Las variables que se reciben desde esta fuente son las siguientes: </w:t>
      </w:r>
    </w:p>
    <w:p w14:paraId="2D3A7E8A"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Año de afiliación</w:t>
      </w:r>
    </w:p>
    <w:p w14:paraId="38154CB3"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Mes de afiliación</w:t>
      </w:r>
    </w:p>
    <w:p w14:paraId="242C3D54"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 cédula enmascarada</w:t>
      </w:r>
    </w:p>
    <w:p w14:paraId="5039923C"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Fecha de nacimiento</w:t>
      </w:r>
    </w:p>
    <w:p w14:paraId="4BABF604"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Género</w:t>
      </w:r>
    </w:p>
    <w:p w14:paraId="1F09D8B6"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Estado civil</w:t>
      </w:r>
    </w:p>
    <w:p w14:paraId="57CB8F1D"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RUC empleador</w:t>
      </w:r>
    </w:p>
    <w:p w14:paraId="373E32F0"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 sucursal</w:t>
      </w:r>
    </w:p>
    <w:p w14:paraId="6834EE23"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Nombre de razón social</w:t>
      </w:r>
    </w:p>
    <w:p w14:paraId="51A0A375"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Provincia</w:t>
      </w:r>
    </w:p>
    <w:p w14:paraId="1AABAB2E"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Cantón</w:t>
      </w:r>
    </w:p>
    <w:p w14:paraId="46D2B7DC"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Parroquia</w:t>
      </w:r>
    </w:p>
    <w:p w14:paraId="1CE45CF3"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Dirección del empleador</w:t>
      </w:r>
    </w:p>
    <w:p w14:paraId="7FCE8A93"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 teléfono</w:t>
      </w:r>
    </w:p>
    <w:p w14:paraId="31A7215D"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Sector</w:t>
      </w:r>
    </w:p>
    <w:p w14:paraId="73B7BF47"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Tipo de empleador</w:t>
      </w:r>
    </w:p>
    <w:p w14:paraId="6B320678"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del código de corporación</w:t>
      </w:r>
    </w:p>
    <w:p w14:paraId="792F1736"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 cédula enmascarada</w:t>
      </w:r>
    </w:p>
    <w:p w14:paraId="1E9A68EE"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Sueldo</w:t>
      </w:r>
    </w:p>
    <w:p w14:paraId="24B8451C"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Tipo de novedad</w:t>
      </w:r>
    </w:p>
    <w:p w14:paraId="4C40040F" w14:textId="77777777" w:rsidR="00492810" w:rsidRPr="00443329" w:rsidRDefault="00492810" w:rsidP="003C20C6">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Número de días laborados</w:t>
      </w:r>
    </w:p>
    <w:p w14:paraId="4EE898D4"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4C3BCDA3" w14:textId="1F0E1969"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Desde el año 2018, dada la necesidad de armonizar los conceptos y cifras para el monitoreo del empleo a nivel nacional a partir de registros administrativos, el INEC a través de la Comisión de </w:t>
      </w:r>
      <w:r w:rsidR="001056B6" w:rsidRPr="00443329">
        <w:rPr>
          <w:rFonts w:ascii="Century Gothic" w:hAnsi="Century Gothic"/>
          <w:color w:val="595959" w:themeColor="text1" w:themeTint="A6"/>
          <w:sz w:val="24"/>
        </w:rPr>
        <w:t>Trabajo homologó</w:t>
      </w:r>
      <w:r w:rsidRPr="00443329">
        <w:rPr>
          <w:rFonts w:ascii="Century Gothic" w:hAnsi="Century Gothic"/>
          <w:color w:val="595959" w:themeColor="text1" w:themeTint="A6"/>
          <w:sz w:val="24"/>
        </w:rPr>
        <w:t xml:space="preserve"> y aprobó indicadores del mercado </w:t>
      </w:r>
      <w:r w:rsidR="001056B6" w:rsidRPr="00443329">
        <w:rPr>
          <w:rFonts w:ascii="Century Gothic" w:hAnsi="Century Gothic"/>
          <w:color w:val="595959" w:themeColor="text1" w:themeTint="A6"/>
          <w:sz w:val="24"/>
        </w:rPr>
        <w:t>laboral de</w:t>
      </w:r>
      <w:r w:rsidRPr="00443329">
        <w:rPr>
          <w:rFonts w:ascii="Century Gothic" w:hAnsi="Century Gothic"/>
          <w:color w:val="595959" w:themeColor="text1" w:themeTint="A6"/>
          <w:sz w:val="24"/>
        </w:rPr>
        <w:t xml:space="preserve"> plazas de empleo y empleo </w:t>
      </w:r>
      <w:r w:rsidR="001056B6" w:rsidRPr="00443329">
        <w:rPr>
          <w:rFonts w:ascii="Century Gothic" w:hAnsi="Century Gothic"/>
          <w:color w:val="595959" w:themeColor="text1" w:themeTint="A6"/>
          <w:sz w:val="24"/>
        </w:rPr>
        <w:t>registrado en</w:t>
      </w:r>
      <w:r w:rsidRPr="00443329">
        <w:rPr>
          <w:rFonts w:ascii="Century Gothic" w:hAnsi="Century Gothic"/>
          <w:color w:val="595959" w:themeColor="text1" w:themeTint="A6"/>
          <w:sz w:val="24"/>
        </w:rPr>
        <w:t xml:space="preserve"> la seguridad social. </w:t>
      </w:r>
    </w:p>
    <w:p w14:paraId="2D4CD124"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77000D45"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DIEE en sus versiones anteriores, presentaba cifras relacionadas al personal afiliado por empresa; sin embargo, desde la publicación 2018 se adapta la nueva metodología de cálculo, por tanto, la construcción del directorio incluye las siguientes variables derivadas: plaza de empleo registrado y empleo registrado en la seguridad social desagregado por sexo y rangos de edad. En el glosario de este documento se detalla la definición de estos indicadores.</w:t>
      </w:r>
    </w:p>
    <w:p w14:paraId="5809FCF0"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12395A2F" w14:textId="77777777" w:rsidR="00492810"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Para obtener los valores requeridos de personal afiliado hombres y mujeres, adaptado a la nueva metodología de cálculo, tanto para establecimientos como para empresas, se realiza el siguiente procedimiento:</w:t>
      </w:r>
    </w:p>
    <w:p w14:paraId="1211106C" w14:textId="77777777" w:rsidR="00225CFC" w:rsidRPr="00443329" w:rsidRDefault="00225CFC" w:rsidP="00492810">
      <w:pPr>
        <w:pStyle w:val="Sinespaciado"/>
        <w:spacing w:line="276" w:lineRule="auto"/>
        <w:jc w:val="both"/>
        <w:rPr>
          <w:rFonts w:ascii="Century Gothic" w:hAnsi="Century Gothic"/>
          <w:color w:val="595959" w:themeColor="text1" w:themeTint="A6"/>
          <w:sz w:val="24"/>
        </w:rPr>
      </w:pPr>
    </w:p>
    <w:p w14:paraId="2B520A87" w14:textId="7AF18750" w:rsidR="00492810" w:rsidRDefault="00492810" w:rsidP="003C20C6">
      <w:pPr>
        <w:pStyle w:val="Sinespaciado"/>
        <w:numPr>
          <w:ilvl w:val="0"/>
          <w:numId w:val="18"/>
        </w:numPr>
        <w:spacing w:line="276" w:lineRule="auto"/>
        <w:ind w:left="360"/>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Personal afiliado por Empresas. - Se realiza la sumatoria del personal afiliado</w:t>
      </w:r>
      <w:r w:rsidRPr="00443329">
        <w:rPr>
          <w:rFonts w:ascii="Century Gothic" w:hAnsi="Century Gothic"/>
          <w:color w:val="595959" w:themeColor="text1" w:themeTint="A6"/>
          <w:sz w:val="24"/>
          <w:vertAlign w:val="superscript"/>
        </w:rPr>
        <w:footnoteReference w:id="16"/>
      </w:r>
      <w:r w:rsidRPr="00443329">
        <w:rPr>
          <w:rFonts w:ascii="Century Gothic" w:hAnsi="Century Gothic"/>
          <w:color w:val="595959" w:themeColor="text1" w:themeTint="A6"/>
          <w:sz w:val="24"/>
          <w:vertAlign w:val="superscript"/>
        </w:rPr>
        <w:t xml:space="preserve"> </w:t>
      </w:r>
      <w:r w:rsidRPr="00443329">
        <w:rPr>
          <w:rFonts w:ascii="Century Gothic" w:hAnsi="Century Gothic"/>
          <w:color w:val="595959" w:themeColor="text1" w:themeTint="A6"/>
          <w:sz w:val="24"/>
        </w:rPr>
        <w:t xml:space="preserve">de cada empresa por mes para cada RUC del SRI que empareja con el RUC del empleador del IESS, la sumatoria se realiza para personal afiliado hombres, mujeres y total. En una segunda etapa, se obtiene el promedio anual a partir del registro de personal afiliado de cada mes, para cada una de las empresas. Este procedimiento se realiza para plazas de empleo registrado y empleo registrado. </w:t>
      </w:r>
    </w:p>
    <w:p w14:paraId="1EE114C8" w14:textId="77777777" w:rsidR="001056B6" w:rsidRPr="00443329" w:rsidRDefault="001056B6" w:rsidP="001056B6">
      <w:pPr>
        <w:pStyle w:val="Sinespaciado"/>
        <w:spacing w:line="276" w:lineRule="auto"/>
        <w:ind w:left="360"/>
        <w:jc w:val="both"/>
        <w:rPr>
          <w:rFonts w:ascii="Century Gothic" w:hAnsi="Century Gothic"/>
          <w:color w:val="595959" w:themeColor="text1" w:themeTint="A6"/>
          <w:sz w:val="24"/>
        </w:rPr>
      </w:pPr>
    </w:p>
    <w:p w14:paraId="056A9D09" w14:textId="3BE6F4EE" w:rsidR="00492810" w:rsidRDefault="00492810" w:rsidP="003C20C6">
      <w:pPr>
        <w:pStyle w:val="Sinespaciado"/>
        <w:numPr>
          <w:ilvl w:val="0"/>
          <w:numId w:val="18"/>
        </w:numPr>
        <w:spacing w:line="276" w:lineRule="auto"/>
        <w:ind w:left="360"/>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Personal afiliado por </w:t>
      </w:r>
      <w:r w:rsidR="00C56AC7" w:rsidRPr="00C56AC7">
        <w:rPr>
          <w:rFonts w:ascii="Century Gothic" w:hAnsi="Century Gothic"/>
          <w:color w:val="595959" w:themeColor="text1" w:themeTint="A6"/>
          <w:sz w:val="24"/>
        </w:rPr>
        <w:t>Establecimientos. -</w:t>
      </w:r>
      <w:r w:rsidRPr="00443329">
        <w:rPr>
          <w:rFonts w:ascii="Century Gothic" w:hAnsi="Century Gothic"/>
          <w:color w:val="595959" w:themeColor="text1" w:themeTint="A6"/>
          <w:sz w:val="24"/>
        </w:rPr>
        <w:t xml:space="preserve"> Se realiza la sumatoria del personal afiliado de cada uno de los establecimientos de la empresa de cada mes, tanto para personal afiliado hombres, mujeres y el total. El total de personal afiliado del año se obtiene calculando el promedio anual del personal afiliado declarado en cada mes, tanto de hombres, mujeres y total, para ello se obtiene un valor estimado para cada establecimiento según el porcentaje de afiliados que haya tenido cada establecimiento en todo el año. El cálculo se realiza para plazas de empleo registrado y empleo registrado.</w:t>
      </w:r>
    </w:p>
    <w:p w14:paraId="264F11C0" w14:textId="77777777" w:rsidR="001056B6" w:rsidRPr="00443329" w:rsidRDefault="001056B6" w:rsidP="001056B6">
      <w:pPr>
        <w:pStyle w:val="Sinespaciado"/>
        <w:spacing w:line="276" w:lineRule="auto"/>
        <w:jc w:val="both"/>
        <w:rPr>
          <w:rFonts w:ascii="Century Gothic" w:hAnsi="Century Gothic"/>
          <w:color w:val="595959" w:themeColor="text1" w:themeTint="A6"/>
          <w:sz w:val="24"/>
        </w:rPr>
      </w:pPr>
    </w:p>
    <w:p w14:paraId="66171A64" w14:textId="3B131DF3" w:rsidR="00492810" w:rsidRPr="001056B6" w:rsidRDefault="00492810" w:rsidP="003C20C6">
      <w:pPr>
        <w:pStyle w:val="Sinespaciado"/>
        <w:numPr>
          <w:ilvl w:val="0"/>
          <w:numId w:val="18"/>
        </w:numPr>
        <w:spacing w:line="276" w:lineRule="auto"/>
        <w:ind w:left="360"/>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Dado que los establecimientos que registran las empresas en el IESS no necesariamente corresponden a los establecimientos registrados en el SRI, para el cálculo del personal afiliado a nivel de plazas de empleo registrado y empleo registrado se realiza un emparejamiento de los establecimientos </w:t>
      </w:r>
      <w:r w:rsidRPr="00443329">
        <w:rPr>
          <w:rFonts w:ascii="Century Gothic" w:hAnsi="Century Gothic"/>
          <w:color w:val="595959" w:themeColor="text1" w:themeTint="A6"/>
          <w:sz w:val="24"/>
          <w:lang w:val="es-ES"/>
        </w:rPr>
        <w:t xml:space="preserve">entre el IESS y el SRI </w:t>
      </w:r>
      <w:r w:rsidR="001063C0" w:rsidRPr="00443329">
        <w:rPr>
          <w:rFonts w:ascii="Century Gothic" w:hAnsi="Century Gothic"/>
          <w:color w:val="595959" w:themeColor="text1" w:themeTint="A6"/>
          <w:sz w:val="24"/>
          <w:lang w:val="es-ES"/>
        </w:rPr>
        <w:t>de acuerdo con</w:t>
      </w:r>
      <w:r w:rsidRPr="00443329">
        <w:rPr>
          <w:rFonts w:ascii="Century Gothic" w:hAnsi="Century Gothic"/>
          <w:color w:val="595959" w:themeColor="text1" w:themeTint="A6"/>
          <w:sz w:val="24"/>
          <w:lang w:val="es-ES"/>
        </w:rPr>
        <w:t xml:space="preserve"> la geografía de cada establecimiento del IESS con la geografía del DIEE. A continuación, en los establecimientos que quedan sin emparejar se asigna los afiliados al establecimiento que mayor número tenga.  </w:t>
      </w:r>
      <w:r w:rsidR="00C56AC7" w:rsidRPr="00C56AC7">
        <w:rPr>
          <w:rFonts w:ascii="Century Gothic" w:hAnsi="Century Gothic"/>
          <w:color w:val="595959" w:themeColor="text1" w:themeTint="A6"/>
          <w:sz w:val="24"/>
          <w:lang w:val="es-ES"/>
        </w:rPr>
        <w:t>Finalmente,</w:t>
      </w:r>
      <w:r w:rsidRPr="00443329">
        <w:rPr>
          <w:rFonts w:ascii="Century Gothic" w:hAnsi="Century Gothic"/>
          <w:color w:val="595959" w:themeColor="text1" w:themeTint="A6"/>
          <w:sz w:val="24"/>
          <w:lang w:val="es-ES"/>
        </w:rPr>
        <w:t xml:space="preserve"> si quedó pendiente información por asignar esta información va al establecimiento matriz.</w:t>
      </w:r>
    </w:p>
    <w:p w14:paraId="5FF1E012" w14:textId="77777777" w:rsidR="001056B6" w:rsidRPr="00443329" w:rsidRDefault="001056B6" w:rsidP="001056B6">
      <w:pPr>
        <w:pStyle w:val="Sinespaciado"/>
        <w:spacing w:line="276" w:lineRule="auto"/>
        <w:jc w:val="both"/>
        <w:rPr>
          <w:rFonts w:ascii="Century Gothic" w:hAnsi="Century Gothic"/>
          <w:color w:val="595959" w:themeColor="text1" w:themeTint="A6"/>
          <w:sz w:val="24"/>
        </w:rPr>
      </w:pPr>
    </w:p>
    <w:p w14:paraId="1F5C4A0B" w14:textId="5AE9F8B2" w:rsidR="00492810" w:rsidRPr="00443329" w:rsidRDefault="00492810" w:rsidP="003C20C6">
      <w:pPr>
        <w:pStyle w:val="Sinespaciado"/>
        <w:numPr>
          <w:ilvl w:val="0"/>
          <w:numId w:val="18"/>
        </w:numPr>
        <w:spacing w:line="276" w:lineRule="auto"/>
        <w:ind w:left="360"/>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Personal afilado por rangos de edad. - Se recodifica la variable “edad” – disponible en el registro administrativo del IESS – en una nueva variable denominada “rangos de edad”</w:t>
      </w:r>
      <w:r w:rsidRPr="00443329">
        <w:rPr>
          <w:rStyle w:val="Refdenotaalpie"/>
          <w:rFonts w:ascii="Century Gothic" w:hAnsi="Century Gothic"/>
          <w:color w:val="595959" w:themeColor="text1" w:themeTint="A6"/>
          <w:sz w:val="24"/>
        </w:rPr>
        <w:footnoteReference w:id="17"/>
      </w:r>
      <w:r w:rsidRPr="00443329">
        <w:rPr>
          <w:rFonts w:ascii="Century Gothic" w:hAnsi="Century Gothic"/>
          <w:color w:val="595959" w:themeColor="text1" w:themeTint="A6"/>
          <w:sz w:val="24"/>
        </w:rPr>
        <w:t xml:space="preserve"> que está compuesta por cinco categorías o rangos previamente definidos por la Dirección de Análisis (DEAN), a los cuales se ajustará el cálculo en el Directorio de Empresas por comparabilidad. Debido a que los rangos de edad se calcula a nivel de afiliado, para agregar a nivel de empresa y año, por la forma de cálculo (</w:t>
      </w:r>
      <w:r w:rsidR="00CC5B9D">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y último) se consideran los valores de plazas y empleo  previamente obtenidos por estas dos formas de cálculo, de la siguiente manera: i) Rangos de edad para plazas y empleo registrado en la seguridad social </w:t>
      </w:r>
      <w:r w:rsidR="001063C0">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se determina una relación porcentual de la sumatoria total de plazas y empleo </w:t>
      </w:r>
      <w:r w:rsidR="00E3083B">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registrado en la seguridad social por cada rango de edad, respecto al total general de cada empresa, y se distribuye las plazas/empleo registrado en la seguridad social en cada uno de los rangos de edad, en función de la proporción antes calculada. Si existen diferencias entre el total de plazas y/o empleo registrado por rangos de edad y las plazas y/o empleo registrado </w:t>
      </w:r>
      <w:r w:rsidR="00E3083B">
        <w:rPr>
          <w:rFonts w:ascii="Century Gothic" w:hAnsi="Century Gothic"/>
          <w:color w:val="595959" w:themeColor="text1" w:themeTint="A6"/>
          <w:sz w:val="24"/>
        </w:rPr>
        <w:t>equivalente</w:t>
      </w:r>
      <w:r w:rsidRPr="00443329">
        <w:rPr>
          <w:rFonts w:ascii="Century Gothic" w:hAnsi="Century Gothic"/>
          <w:color w:val="595959" w:themeColor="text1" w:themeTint="A6"/>
          <w:sz w:val="24"/>
        </w:rPr>
        <w:t xml:space="preserve"> total, se asigna la diferencia al rango de edad que mayor cantidad de plazas y/o empleo registrado tenga; en caso de existir dos o más rangos de edad que tengan igual cantidad de plazas y/o empleo registrado se asignará de manera aleatoria la diferencia; ii)Rangos de edad para plazas y empleo registrado en las seguridad social último: únicamente se considera los registros de plazas y/o empleo registrado en la seguridad social en el mes de noviembre, si la empresa cerró sus operaciones antes del mes de noviembre, se toma información del último mes del cual posea información.</w:t>
      </w:r>
    </w:p>
    <w:p w14:paraId="32914810" w14:textId="77777777" w:rsidR="00492810" w:rsidRPr="00443329" w:rsidRDefault="00492810" w:rsidP="00492810">
      <w:pPr>
        <w:pStyle w:val="Sinespaciado"/>
        <w:spacing w:line="276" w:lineRule="auto"/>
        <w:ind w:left="930"/>
        <w:jc w:val="both"/>
        <w:rPr>
          <w:rFonts w:ascii="Century Gothic" w:hAnsi="Century Gothic"/>
          <w:color w:val="595959" w:themeColor="text1" w:themeTint="A6"/>
          <w:sz w:val="24"/>
        </w:rPr>
      </w:pPr>
    </w:p>
    <w:p w14:paraId="0A864CE8" w14:textId="77777777" w:rsidR="00492810" w:rsidRPr="00443329" w:rsidRDefault="00492810" w:rsidP="00492810">
      <w:pPr>
        <w:pStyle w:val="Sinespaciado"/>
        <w:spacing w:line="276" w:lineRule="auto"/>
        <w:jc w:val="both"/>
        <w:rPr>
          <w:rFonts w:ascii="Century Gothic" w:hAnsi="Century Gothic"/>
          <w:color w:val="595959" w:themeColor="text1" w:themeTint="A6"/>
          <w:sz w:val="24"/>
          <w:lang w:val="es-ES"/>
        </w:rPr>
      </w:pPr>
      <w:r w:rsidRPr="00443329">
        <w:rPr>
          <w:rFonts w:ascii="Century Gothic" w:hAnsi="Century Gothic"/>
          <w:color w:val="595959" w:themeColor="text1" w:themeTint="A6"/>
          <w:sz w:val="24"/>
        </w:rPr>
        <w:t>Otra fuente de la cual se insume información para la construcción del DIEE es el Ministerio de Educación, el cual proporciona información de instituciones educativas fiscales y fiscomisionales, de las siguientes variables:</w:t>
      </w:r>
    </w:p>
    <w:p w14:paraId="5D411182" w14:textId="77777777" w:rsidR="00492810" w:rsidRPr="00443329" w:rsidRDefault="00492810" w:rsidP="00492810">
      <w:pPr>
        <w:pStyle w:val="Sinespaciado"/>
        <w:spacing w:line="276" w:lineRule="auto"/>
        <w:jc w:val="both"/>
        <w:rPr>
          <w:rFonts w:ascii="Century Gothic" w:hAnsi="Century Gothic"/>
          <w:color w:val="595959" w:themeColor="text1" w:themeTint="A6"/>
          <w:sz w:val="24"/>
          <w:lang w:val="es-ES"/>
        </w:rPr>
      </w:pPr>
    </w:p>
    <w:p w14:paraId="24498F08"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Periodo</w:t>
      </w:r>
    </w:p>
    <w:p w14:paraId="3500E17A"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Zona</w:t>
      </w:r>
    </w:p>
    <w:p w14:paraId="7DD6C84E"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Distrito</w:t>
      </w:r>
    </w:p>
    <w:p w14:paraId="33CF410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Circuito</w:t>
      </w:r>
    </w:p>
    <w:p w14:paraId="30FDE07D"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Provincia</w:t>
      </w:r>
    </w:p>
    <w:p w14:paraId="1699F16E"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Cantón</w:t>
      </w:r>
    </w:p>
    <w:p w14:paraId="2ACFD085"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Parroquia</w:t>
      </w:r>
    </w:p>
    <w:p w14:paraId="017F43B4"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Nombre de institución</w:t>
      </w:r>
    </w:p>
    <w:p w14:paraId="0A550B8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Código de institución</w:t>
      </w:r>
    </w:p>
    <w:p w14:paraId="7BA76020"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Dirección Institución</w:t>
      </w:r>
    </w:p>
    <w:p w14:paraId="5F1FB887"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Fecha creación Institución</w:t>
      </w:r>
    </w:p>
    <w:p w14:paraId="5EF6EFE1"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Escolarización</w:t>
      </w:r>
    </w:p>
    <w:p w14:paraId="425D669A"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Tipo Educación</w:t>
      </w:r>
    </w:p>
    <w:p w14:paraId="1435EFF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Nivel Educación</w:t>
      </w:r>
    </w:p>
    <w:p w14:paraId="7442F41F"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Sostenimiento</w:t>
      </w:r>
    </w:p>
    <w:p w14:paraId="479C47F7"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Zona INEC</w:t>
      </w:r>
    </w:p>
    <w:p w14:paraId="5181AE90"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Régimen Escolar</w:t>
      </w:r>
    </w:p>
    <w:p w14:paraId="7712B05D"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Jurisdicción</w:t>
      </w:r>
    </w:p>
    <w:p w14:paraId="2304C8C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Modalidad</w:t>
      </w:r>
    </w:p>
    <w:p w14:paraId="0996A6C0"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Jornada</w:t>
      </w:r>
    </w:p>
    <w:p w14:paraId="7387D948"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Tenencia Inmueble Edificio</w:t>
      </w:r>
    </w:p>
    <w:p w14:paraId="3DA78E9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Acceso Edificio</w:t>
      </w:r>
    </w:p>
    <w:p w14:paraId="60157B23"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Personal docente</w:t>
      </w:r>
    </w:p>
    <w:p w14:paraId="3321D079"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Personal administrativo</w:t>
      </w:r>
    </w:p>
    <w:p w14:paraId="334774DE" w14:textId="77777777" w:rsidR="00492810" w:rsidRPr="00443329" w:rsidRDefault="00492810" w:rsidP="00970248">
      <w:pPr>
        <w:pStyle w:val="Sinespaciado"/>
        <w:numPr>
          <w:ilvl w:val="1"/>
          <w:numId w:val="4"/>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Remuneraciones</w:t>
      </w:r>
    </w:p>
    <w:p w14:paraId="575B4A5B"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64405980" w14:textId="2E6FE4E2"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310A18">
        <w:rPr>
          <w:rFonts w:ascii="Century Gothic" w:hAnsi="Century Gothic"/>
          <w:color w:val="595959" w:themeColor="text1" w:themeTint="A6"/>
          <w:sz w:val="24"/>
        </w:rPr>
        <w:t>Para el proceso de carga de esta información se utiliza el código AMIE y se considera únicamente las instituciones educativas cuyo sostenimiento es Fiscal o Fiscomisional; y según el tipo de educación impartida (</w:t>
      </w:r>
      <w:r w:rsidR="00F80DCC" w:rsidRPr="00310A18">
        <w:rPr>
          <w:rFonts w:ascii="Century Gothic" w:hAnsi="Century Gothic"/>
          <w:color w:val="595959" w:themeColor="text1" w:themeTint="A6"/>
          <w:sz w:val="24"/>
        </w:rPr>
        <w:t>pre</w:t>
      </w:r>
      <w:r w:rsidR="00F80DCC">
        <w:rPr>
          <w:rFonts w:ascii="Century Gothic" w:hAnsi="Century Gothic"/>
          <w:color w:val="595959" w:themeColor="text1" w:themeTint="A6"/>
          <w:sz w:val="24"/>
        </w:rPr>
        <w:t>-</w:t>
      </w:r>
      <w:r w:rsidR="00F80DCC" w:rsidRPr="00310A18">
        <w:rPr>
          <w:rFonts w:ascii="Century Gothic" w:hAnsi="Century Gothic"/>
          <w:color w:val="595959" w:themeColor="text1" w:themeTint="A6"/>
          <w:sz w:val="24"/>
        </w:rPr>
        <w:t>básica</w:t>
      </w:r>
      <w:r w:rsidRPr="00310A18">
        <w:rPr>
          <w:rFonts w:ascii="Century Gothic" w:hAnsi="Century Gothic"/>
          <w:color w:val="595959" w:themeColor="text1" w:themeTint="A6"/>
          <w:sz w:val="24"/>
        </w:rPr>
        <w:t>, básica o bachillerato), se determina la actividad económica a mayor nivel de desagregación.</w:t>
      </w:r>
      <w:r w:rsidRPr="00443329">
        <w:rPr>
          <w:rFonts w:ascii="Century Gothic" w:hAnsi="Century Gothic"/>
          <w:color w:val="595959" w:themeColor="text1" w:themeTint="A6"/>
          <w:sz w:val="24"/>
        </w:rPr>
        <w:t xml:space="preserve"> </w:t>
      </w:r>
    </w:p>
    <w:p w14:paraId="13B6788B"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5A3B1555" w14:textId="71530FA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Desde la publicación 2018 se realiza un cambio en la metodología de carga, a fin de codificar la actividad económica de las instituciones educativas en función del número de alumnos que registra la institución a nivel </w:t>
      </w:r>
      <w:r w:rsidR="00F80DCC" w:rsidRPr="00443329">
        <w:rPr>
          <w:rFonts w:ascii="Century Gothic" w:hAnsi="Century Gothic"/>
          <w:color w:val="595959" w:themeColor="text1" w:themeTint="A6"/>
          <w:sz w:val="24"/>
        </w:rPr>
        <w:t>pre</w:t>
      </w:r>
      <w:r w:rsidR="00F80DCC">
        <w:rPr>
          <w:rFonts w:ascii="Century Gothic" w:hAnsi="Century Gothic"/>
          <w:color w:val="595959" w:themeColor="text1" w:themeTint="A6"/>
          <w:sz w:val="24"/>
        </w:rPr>
        <w:t>-</w:t>
      </w:r>
      <w:r w:rsidR="00F80DCC" w:rsidRPr="00443329">
        <w:rPr>
          <w:rFonts w:ascii="Century Gothic" w:hAnsi="Century Gothic"/>
          <w:color w:val="595959" w:themeColor="text1" w:themeTint="A6"/>
          <w:sz w:val="24"/>
        </w:rPr>
        <w:t>primario</w:t>
      </w:r>
      <w:r w:rsidRPr="00443329">
        <w:rPr>
          <w:rFonts w:ascii="Century Gothic" w:hAnsi="Century Gothic"/>
          <w:color w:val="595959" w:themeColor="text1" w:themeTint="A6"/>
          <w:sz w:val="24"/>
        </w:rPr>
        <w:t>, primario y bachillerato; debido a este cambio se reprocesó la información de años anteriores.</w:t>
      </w:r>
    </w:p>
    <w:p w14:paraId="27AE377F"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6193BFE7" w14:textId="59782F69"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Una particularidad de esta fuente de información es que las instituciones educativas están codificadas por </w:t>
      </w:r>
      <w:r w:rsidR="00C56AC7" w:rsidRPr="00C56AC7">
        <w:rPr>
          <w:rFonts w:ascii="Century Gothic" w:hAnsi="Century Gothic"/>
          <w:color w:val="595959" w:themeColor="text1" w:themeTint="A6"/>
          <w:sz w:val="24"/>
        </w:rPr>
        <w:t>el código</w:t>
      </w:r>
      <w:r w:rsidRPr="00443329">
        <w:rPr>
          <w:rFonts w:ascii="Century Gothic" w:hAnsi="Century Gothic"/>
          <w:color w:val="595959" w:themeColor="text1" w:themeTint="A6"/>
          <w:sz w:val="24"/>
        </w:rPr>
        <w:t xml:space="preserve"> AMIE por su estructura administrativa lo que implica </w:t>
      </w:r>
      <w:r w:rsidR="00C56AC7" w:rsidRPr="00C56AC7">
        <w:rPr>
          <w:rFonts w:ascii="Century Gothic" w:hAnsi="Century Gothic"/>
          <w:color w:val="595959" w:themeColor="text1" w:themeTint="A6"/>
          <w:sz w:val="24"/>
        </w:rPr>
        <w:t>que no</w:t>
      </w:r>
      <w:r w:rsidRPr="00443329">
        <w:rPr>
          <w:rFonts w:ascii="Century Gothic" w:hAnsi="Century Gothic"/>
          <w:color w:val="595959" w:themeColor="text1" w:themeTint="A6"/>
          <w:sz w:val="24"/>
        </w:rPr>
        <w:t xml:space="preserve"> se encuentran </w:t>
      </w:r>
      <w:r w:rsidR="00C56AC7" w:rsidRPr="00C56AC7">
        <w:rPr>
          <w:rFonts w:ascii="Century Gothic" w:hAnsi="Century Gothic"/>
          <w:color w:val="595959" w:themeColor="text1" w:themeTint="A6"/>
          <w:sz w:val="24"/>
        </w:rPr>
        <w:t>registradas con</w:t>
      </w:r>
      <w:r w:rsidRPr="00443329">
        <w:rPr>
          <w:rFonts w:ascii="Century Gothic" w:hAnsi="Century Gothic"/>
          <w:color w:val="595959" w:themeColor="text1" w:themeTint="A6"/>
          <w:sz w:val="24"/>
        </w:rPr>
        <w:t xml:space="preserve"> un RUC. Es por esta razón que la información del personal afiliado que labora en estas instituciones, en el registro del IESS se los encuentran asociados a una dirección distrital y esta a su vez está regulada por el Ministerio de Educación. </w:t>
      </w:r>
    </w:p>
    <w:p w14:paraId="7C35E6AB"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63E7E047" w14:textId="7623A5CA" w:rsidR="00A62F11" w:rsidRDefault="00A650BB" w:rsidP="00492810">
      <w:pPr>
        <w:pStyle w:val="Sinespaciado"/>
        <w:spacing w:line="276" w:lineRule="auto"/>
        <w:jc w:val="both"/>
        <w:rPr>
          <w:rFonts w:ascii="Century Gothic" w:hAnsi="Century Gothic"/>
          <w:color w:val="595959" w:themeColor="text1" w:themeTint="A6"/>
          <w:sz w:val="24"/>
        </w:rPr>
      </w:pPr>
      <w:r>
        <w:rPr>
          <w:rFonts w:ascii="Century Gothic" w:hAnsi="Century Gothic"/>
          <w:color w:val="595959" w:themeColor="text1" w:themeTint="A6"/>
          <w:sz w:val="24"/>
        </w:rPr>
        <w:t>Para determinar el valor de persona</w:t>
      </w:r>
      <w:r w:rsidR="00225CFC">
        <w:rPr>
          <w:rFonts w:ascii="Century Gothic" w:hAnsi="Century Gothic"/>
          <w:color w:val="595959" w:themeColor="text1" w:themeTint="A6"/>
          <w:sz w:val="24"/>
        </w:rPr>
        <w:t>l</w:t>
      </w:r>
      <w:r>
        <w:rPr>
          <w:rFonts w:ascii="Century Gothic" w:hAnsi="Century Gothic"/>
          <w:color w:val="595959" w:themeColor="text1" w:themeTint="A6"/>
          <w:sz w:val="24"/>
        </w:rPr>
        <w:t xml:space="preserve"> afiliado del IESS total y desagregado por sexo,</w:t>
      </w:r>
      <w:r w:rsidR="007A42E7">
        <w:rPr>
          <w:rFonts w:ascii="Century Gothic" w:hAnsi="Century Gothic"/>
          <w:color w:val="595959" w:themeColor="text1" w:themeTint="A6"/>
          <w:sz w:val="24"/>
        </w:rPr>
        <w:t xml:space="preserve"> para el periodo 2012 – 2021,</w:t>
      </w:r>
      <w:r>
        <w:rPr>
          <w:rFonts w:ascii="Century Gothic" w:hAnsi="Century Gothic"/>
          <w:color w:val="595959" w:themeColor="text1" w:themeTint="A6"/>
          <w:sz w:val="24"/>
        </w:rPr>
        <w:t xml:space="preserve"> l</w:t>
      </w:r>
      <w:r w:rsidR="00EA403D">
        <w:rPr>
          <w:rFonts w:ascii="Century Gothic" w:hAnsi="Century Gothic"/>
          <w:color w:val="595959" w:themeColor="text1" w:themeTint="A6"/>
          <w:sz w:val="24"/>
        </w:rPr>
        <w:t xml:space="preserve">a información que se obtenía de cada dirección distrital respecto a personal afiliado </w:t>
      </w:r>
      <w:r w:rsidR="00A931A1">
        <w:rPr>
          <w:rFonts w:ascii="Century Gothic" w:hAnsi="Century Gothic"/>
          <w:color w:val="595959" w:themeColor="text1" w:themeTint="A6"/>
          <w:sz w:val="24"/>
        </w:rPr>
        <w:t xml:space="preserve">del IESS </w:t>
      </w:r>
      <w:r w:rsidR="00EA403D">
        <w:rPr>
          <w:rFonts w:ascii="Century Gothic" w:hAnsi="Century Gothic"/>
          <w:color w:val="595959" w:themeColor="text1" w:themeTint="A6"/>
          <w:sz w:val="24"/>
        </w:rPr>
        <w:t xml:space="preserve">se distribuyó para las instituciones educativas que forman estos distritos, al distribuir </w:t>
      </w:r>
      <w:r w:rsidR="00225CFC">
        <w:rPr>
          <w:rFonts w:ascii="Century Gothic" w:hAnsi="Century Gothic"/>
          <w:color w:val="595959" w:themeColor="text1" w:themeTint="A6"/>
          <w:sz w:val="24"/>
        </w:rPr>
        <w:t>dicho</w:t>
      </w:r>
      <w:r w:rsidR="00A931A1">
        <w:rPr>
          <w:rFonts w:ascii="Century Gothic" w:hAnsi="Century Gothic"/>
          <w:color w:val="595959" w:themeColor="text1" w:themeTint="A6"/>
          <w:sz w:val="24"/>
        </w:rPr>
        <w:t xml:space="preserve"> valor</w:t>
      </w:r>
      <w:r w:rsidR="00A04BA4">
        <w:rPr>
          <w:rFonts w:ascii="Century Gothic" w:hAnsi="Century Gothic"/>
          <w:color w:val="595959" w:themeColor="text1" w:themeTint="A6"/>
          <w:sz w:val="24"/>
        </w:rPr>
        <w:t xml:space="preserve">, se </w:t>
      </w:r>
      <w:r w:rsidR="004F26A2">
        <w:rPr>
          <w:rFonts w:ascii="Century Gothic" w:hAnsi="Century Gothic"/>
          <w:color w:val="595959" w:themeColor="text1" w:themeTint="A6"/>
          <w:sz w:val="24"/>
        </w:rPr>
        <w:t>obtuvo el valor de personal afiliado para los distritos y las unidades educativas</w:t>
      </w:r>
      <w:r w:rsidR="002C3DD6">
        <w:rPr>
          <w:rFonts w:ascii="Century Gothic" w:hAnsi="Century Gothic"/>
          <w:color w:val="595959" w:themeColor="text1" w:themeTint="A6"/>
          <w:sz w:val="24"/>
        </w:rPr>
        <w:t>. Cabe mencionar que</w:t>
      </w:r>
      <w:r w:rsidR="00673FC4">
        <w:rPr>
          <w:rFonts w:ascii="Century Gothic" w:hAnsi="Century Gothic"/>
          <w:color w:val="595959" w:themeColor="text1" w:themeTint="A6"/>
          <w:sz w:val="24"/>
        </w:rPr>
        <w:t xml:space="preserve"> </w:t>
      </w:r>
      <w:r w:rsidR="004F26A2">
        <w:rPr>
          <w:rFonts w:ascii="Century Gothic" w:hAnsi="Century Gothic"/>
          <w:color w:val="595959" w:themeColor="text1" w:themeTint="A6"/>
          <w:sz w:val="24"/>
        </w:rPr>
        <w:t xml:space="preserve">existieron casos de </w:t>
      </w:r>
      <w:r w:rsidR="00A04BA4">
        <w:rPr>
          <w:rFonts w:ascii="Century Gothic" w:hAnsi="Century Gothic"/>
          <w:color w:val="595959" w:themeColor="text1" w:themeTint="A6"/>
          <w:sz w:val="24"/>
        </w:rPr>
        <w:t>distritos con valores negativos a los cuales se optó por colocar el valor uno</w:t>
      </w:r>
      <w:r w:rsidR="00AD1556">
        <w:rPr>
          <w:rFonts w:ascii="Century Gothic" w:hAnsi="Century Gothic"/>
          <w:color w:val="595959" w:themeColor="text1" w:themeTint="A6"/>
          <w:sz w:val="24"/>
        </w:rPr>
        <w:t xml:space="preserve">. Por lo </w:t>
      </w:r>
      <w:r w:rsidR="004F26A2">
        <w:rPr>
          <w:rFonts w:ascii="Century Gothic" w:hAnsi="Century Gothic"/>
          <w:color w:val="595959" w:themeColor="text1" w:themeTint="A6"/>
          <w:sz w:val="24"/>
        </w:rPr>
        <w:t>tanto,</w:t>
      </w:r>
      <w:r w:rsidR="00AD1556">
        <w:rPr>
          <w:rFonts w:ascii="Century Gothic" w:hAnsi="Century Gothic"/>
          <w:color w:val="595959" w:themeColor="text1" w:themeTint="A6"/>
          <w:sz w:val="24"/>
        </w:rPr>
        <w:t xml:space="preserve"> para distribuir este valor de personal afiliado p</w:t>
      </w:r>
      <w:r w:rsidR="00E8741E">
        <w:rPr>
          <w:rFonts w:ascii="Century Gothic" w:hAnsi="Century Gothic"/>
          <w:color w:val="595959" w:themeColor="text1" w:themeTint="A6"/>
          <w:sz w:val="24"/>
        </w:rPr>
        <w:t>or cada unidad educativa</w:t>
      </w:r>
      <w:r w:rsidR="00AD1556">
        <w:rPr>
          <w:rFonts w:ascii="Century Gothic" w:hAnsi="Century Gothic"/>
          <w:color w:val="595959" w:themeColor="text1" w:themeTint="A6"/>
          <w:sz w:val="24"/>
        </w:rPr>
        <w:t xml:space="preserve"> se obtuvo un peso o porcentaje acorde al cuál se </w:t>
      </w:r>
      <w:r w:rsidR="005A3BD9">
        <w:rPr>
          <w:rFonts w:ascii="Century Gothic" w:hAnsi="Century Gothic"/>
          <w:color w:val="595959" w:themeColor="text1" w:themeTint="A6"/>
          <w:sz w:val="24"/>
        </w:rPr>
        <w:t>ajustaron</w:t>
      </w:r>
      <w:r w:rsidR="00AD1556">
        <w:rPr>
          <w:rFonts w:ascii="Century Gothic" w:hAnsi="Century Gothic"/>
          <w:color w:val="595959" w:themeColor="text1" w:themeTint="A6"/>
          <w:sz w:val="24"/>
        </w:rPr>
        <w:t xml:space="preserve"> los valores para plazas de empleo registrado equivalente, de igual manera</w:t>
      </w:r>
      <w:r w:rsidR="002C3DD6">
        <w:rPr>
          <w:rFonts w:ascii="Century Gothic" w:hAnsi="Century Gothic"/>
          <w:color w:val="595959" w:themeColor="text1" w:themeTint="A6"/>
          <w:sz w:val="24"/>
        </w:rPr>
        <w:t>,</w:t>
      </w:r>
      <w:r w:rsidR="00AD1556">
        <w:rPr>
          <w:rFonts w:ascii="Century Gothic" w:hAnsi="Century Gothic"/>
          <w:color w:val="595959" w:themeColor="text1" w:themeTint="A6"/>
          <w:sz w:val="24"/>
        </w:rPr>
        <w:t xml:space="preserve"> en base a este porcentaje se obtienen las remuneraciones </w:t>
      </w:r>
      <w:r w:rsidR="004F3509">
        <w:rPr>
          <w:rFonts w:ascii="Century Gothic" w:hAnsi="Century Gothic"/>
          <w:color w:val="595959" w:themeColor="text1" w:themeTint="A6"/>
          <w:sz w:val="24"/>
        </w:rPr>
        <w:t xml:space="preserve">totales y </w:t>
      </w:r>
      <w:r w:rsidR="002C3DD6">
        <w:rPr>
          <w:rFonts w:ascii="Century Gothic" w:hAnsi="Century Gothic"/>
          <w:color w:val="595959" w:themeColor="text1" w:themeTint="A6"/>
          <w:sz w:val="24"/>
        </w:rPr>
        <w:t>desagregadas</w:t>
      </w:r>
      <w:r w:rsidR="004F3509">
        <w:rPr>
          <w:rFonts w:ascii="Century Gothic" w:hAnsi="Century Gothic"/>
          <w:color w:val="595959" w:themeColor="text1" w:themeTint="A6"/>
          <w:sz w:val="24"/>
        </w:rPr>
        <w:t xml:space="preserve"> por sexo</w:t>
      </w:r>
      <w:r w:rsidR="002C3DD6">
        <w:rPr>
          <w:rFonts w:ascii="Century Gothic" w:hAnsi="Century Gothic"/>
          <w:color w:val="595959" w:themeColor="text1" w:themeTint="A6"/>
          <w:sz w:val="24"/>
        </w:rPr>
        <w:t>.</w:t>
      </w:r>
    </w:p>
    <w:p w14:paraId="03500560" w14:textId="77777777" w:rsidR="00A62F11" w:rsidRDefault="00A62F11" w:rsidP="00492810">
      <w:pPr>
        <w:pStyle w:val="Sinespaciado"/>
        <w:spacing w:line="276" w:lineRule="auto"/>
        <w:jc w:val="both"/>
        <w:rPr>
          <w:rFonts w:ascii="Century Gothic" w:hAnsi="Century Gothic"/>
          <w:color w:val="595959" w:themeColor="text1" w:themeTint="A6"/>
          <w:sz w:val="24"/>
        </w:rPr>
      </w:pPr>
    </w:p>
    <w:p w14:paraId="5489D0EF"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Respecto a la ubicación geográfica, se toma la información que viene desde el Ministerio de Educación. Sin embargo, al momento de considerar los centros educativos de las parroquias urbanas, se realiza una recodificación para que todas las unidades tengan el código que corresponde a la cabecera cantonal.</w:t>
      </w:r>
    </w:p>
    <w:p w14:paraId="4621351E" w14:textId="53640F98"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 </w:t>
      </w:r>
      <w:r w:rsidR="00856469">
        <w:rPr>
          <w:rFonts w:ascii="Century Gothic" w:hAnsi="Century Gothic"/>
          <w:color w:val="595959" w:themeColor="text1" w:themeTint="A6"/>
          <w:sz w:val="24"/>
        </w:rPr>
        <w:t xml:space="preserve"> </w:t>
      </w:r>
    </w:p>
    <w:p w14:paraId="08B701EC" w14:textId="5A9DE57A"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La integración de </w:t>
      </w:r>
      <w:r w:rsidR="00B10D09" w:rsidRPr="00B10D09">
        <w:rPr>
          <w:rFonts w:ascii="Century Gothic" w:hAnsi="Century Gothic"/>
          <w:color w:val="595959" w:themeColor="text1" w:themeTint="A6"/>
          <w:sz w:val="24"/>
        </w:rPr>
        <w:t>estas fuentes</w:t>
      </w:r>
      <w:r w:rsidRPr="00443329">
        <w:rPr>
          <w:rFonts w:ascii="Century Gothic" w:hAnsi="Century Gothic"/>
          <w:color w:val="595959" w:themeColor="text1" w:themeTint="A6"/>
          <w:sz w:val="24"/>
        </w:rPr>
        <w:t xml:space="preserve"> principales permite definir la cobertura inicial del DIEE, sobre la cual se realizarán los procesos de validación y consistencia de la información.</w:t>
      </w:r>
    </w:p>
    <w:p w14:paraId="6FD16F2E"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2E358787" w14:textId="569D014F" w:rsidR="00C455A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detalle de la estructura de la base de datos y las variables contenidas en cada tabla, se encuentran en el anexo 4.</w:t>
      </w:r>
    </w:p>
    <w:p w14:paraId="093A0B62" w14:textId="77777777" w:rsidR="00D67214" w:rsidRDefault="00D67214" w:rsidP="00D83F71">
      <w:pPr>
        <w:pStyle w:val="Sinespaciado"/>
        <w:spacing w:line="276" w:lineRule="auto"/>
        <w:jc w:val="both"/>
        <w:rPr>
          <w:rFonts w:ascii="Century Gothic" w:hAnsi="Century Gothic"/>
          <w:color w:val="595959" w:themeColor="text1" w:themeTint="A6"/>
          <w:sz w:val="24"/>
        </w:rPr>
      </w:pPr>
    </w:p>
    <w:p w14:paraId="2CC3852A" w14:textId="56879FF4" w:rsidR="00492810" w:rsidRPr="00176DC8" w:rsidRDefault="00492810" w:rsidP="009E6870">
      <w:pPr>
        <w:pStyle w:val="SUBTITULOINEC"/>
        <w:numPr>
          <w:ilvl w:val="1"/>
          <w:numId w:val="34"/>
        </w:numPr>
        <w:jc w:val="both"/>
        <w:rPr>
          <w:sz w:val="32"/>
          <w:szCs w:val="32"/>
        </w:rPr>
      </w:pPr>
      <w:bookmarkStart w:id="215" w:name="_Toc412998139"/>
      <w:bookmarkStart w:id="216" w:name="_Toc53757440"/>
      <w:r w:rsidRPr="00176DC8">
        <w:rPr>
          <w:sz w:val="32"/>
          <w:szCs w:val="32"/>
        </w:rPr>
        <w:t>Diseño y configuración de sistema de producción</w:t>
      </w:r>
      <w:bookmarkEnd w:id="215"/>
      <w:bookmarkEnd w:id="216"/>
    </w:p>
    <w:p w14:paraId="7E605AFB" w14:textId="717BC9AD" w:rsidR="00492810" w:rsidRPr="00527E0F" w:rsidRDefault="00492810" w:rsidP="002165CC">
      <w:pPr>
        <w:spacing w:before="240"/>
        <w:jc w:val="both"/>
        <w:rPr>
          <w:rFonts w:ascii="Century Gothic" w:hAnsi="Century Gothic"/>
          <w:color w:val="595959" w:themeColor="text1" w:themeTint="A6"/>
          <w:lang w:eastAsia="es-EC"/>
        </w:rPr>
      </w:pPr>
      <w:bookmarkStart w:id="217" w:name="_Toc412998140"/>
      <w:r w:rsidRPr="00527E0F">
        <w:rPr>
          <w:rFonts w:ascii="Century Gothic" w:hAnsi="Century Gothic"/>
          <w:color w:val="595959" w:themeColor="text1" w:themeTint="A6"/>
          <w:lang w:eastAsia="es-EC"/>
        </w:rPr>
        <w:t>Las herramientas de software con las que el DIEE trabaja son: motor de Base de Datos: PostgreSQL, herramienta BI: Pentaho Data Integration y Oracle Express Edition 10g.</w:t>
      </w:r>
    </w:p>
    <w:p w14:paraId="518F44E5" w14:textId="77777777" w:rsidR="00492810" w:rsidRPr="00527E0F" w:rsidRDefault="00492810" w:rsidP="00443329">
      <w:pPr>
        <w:jc w:val="both"/>
        <w:rPr>
          <w:rFonts w:ascii="Century Gothic" w:hAnsi="Century Gothic"/>
          <w:color w:val="595959" w:themeColor="text1" w:themeTint="A6"/>
          <w:lang w:eastAsia="es-EC"/>
        </w:rPr>
      </w:pPr>
    </w:p>
    <w:p w14:paraId="0052ECD2" w14:textId="509C3709"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Cada una de las fuentes de información se almacena en bases distintas con el propósito de dar respuesta a los objetivos que cada institución persigue según consta en el Convenio de Intercambio de Información y debido a que estas instituciones proveen información </w:t>
      </w:r>
      <w:r w:rsidR="007E7435" w:rsidRPr="00527E0F">
        <w:rPr>
          <w:rFonts w:ascii="Century Gothic" w:hAnsi="Century Gothic"/>
          <w:color w:val="595959" w:themeColor="text1" w:themeTint="A6"/>
          <w:lang w:eastAsia="es-EC"/>
        </w:rPr>
        <w:t xml:space="preserve">de acuerdo </w:t>
      </w:r>
      <w:r w:rsidR="002C3DD6">
        <w:rPr>
          <w:rFonts w:ascii="Century Gothic" w:hAnsi="Century Gothic"/>
          <w:color w:val="595959" w:themeColor="text1" w:themeTint="A6"/>
          <w:lang w:eastAsia="es-EC"/>
        </w:rPr>
        <w:t>a</w:t>
      </w:r>
      <w:r w:rsidRPr="00527E0F">
        <w:rPr>
          <w:rFonts w:ascii="Century Gothic" w:hAnsi="Century Gothic"/>
          <w:color w:val="595959" w:themeColor="text1" w:themeTint="A6"/>
          <w:lang w:eastAsia="es-EC"/>
        </w:rPr>
        <w:t xml:space="preserve"> sus propios sistemas de Gestión de Base de Datos (GBDD) y políticas con que manejan los requerimientos de usuarios externos.</w:t>
      </w:r>
    </w:p>
    <w:p w14:paraId="0853EFC9" w14:textId="77777777" w:rsidR="00492810" w:rsidRPr="00527E0F" w:rsidRDefault="00492810" w:rsidP="00CF0C1E">
      <w:pPr>
        <w:rPr>
          <w:rFonts w:ascii="Century Gothic" w:hAnsi="Century Gothic"/>
          <w:color w:val="595959" w:themeColor="text1" w:themeTint="A6"/>
          <w:lang w:eastAsia="es-EC"/>
        </w:rPr>
      </w:pPr>
    </w:p>
    <w:p w14:paraId="1722AE0B" w14:textId="34F4D72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Como se mencionó en un apartado anterior, la información llega al INEC a través de un canal de comunicación exclusivo, sea con el SRI o el IESS, y es depositada en un servidor con </w:t>
      </w:r>
      <w:r w:rsidR="00251ECD" w:rsidRPr="00527E0F">
        <w:rPr>
          <w:rFonts w:ascii="Century Gothic" w:hAnsi="Century Gothic"/>
          <w:color w:val="595959" w:themeColor="text1" w:themeTint="A6"/>
          <w:lang w:eastAsia="es-EC"/>
        </w:rPr>
        <w:t>sistemas operativos</w:t>
      </w:r>
      <w:r w:rsidRPr="00527E0F">
        <w:rPr>
          <w:rFonts w:ascii="Century Gothic" w:hAnsi="Century Gothic"/>
          <w:color w:val="595959" w:themeColor="text1" w:themeTint="A6"/>
          <w:lang w:eastAsia="es-EC"/>
        </w:rPr>
        <w:t xml:space="preserve"> GNU Linux </w:t>
      </w:r>
      <w:r w:rsidR="002C3DD6">
        <w:rPr>
          <w:rFonts w:ascii="Century Gothic" w:hAnsi="Century Gothic"/>
          <w:color w:val="595959" w:themeColor="text1" w:themeTint="A6"/>
          <w:lang w:eastAsia="es-EC"/>
        </w:rPr>
        <w:t>C</w:t>
      </w:r>
      <w:r w:rsidRPr="00527E0F">
        <w:rPr>
          <w:rFonts w:ascii="Century Gothic" w:hAnsi="Century Gothic"/>
          <w:color w:val="595959" w:themeColor="text1" w:themeTint="A6"/>
          <w:lang w:eastAsia="es-EC"/>
        </w:rPr>
        <w:t>entos 6.0 de 64 bits. En este servidor se encuentra también instalados los dos principales Sistemas de Gestión de Base de datos (SGBDD) usados en el DIEE, Oracle Express Edition 10g y PostgreSQL versión 9.1.</w:t>
      </w:r>
    </w:p>
    <w:p w14:paraId="287B8A72" w14:textId="77777777" w:rsidR="00492810" w:rsidRPr="00527E0F" w:rsidRDefault="00492810" w:rsidP="00443329">
      <w:pPr>
        <w:jc w:val="both"/>
        <w:rPr>
          <w:rFonts w:ascii="Century Gothic" w:hAnsi="Century Gothic"/>
          <w:color w:val="595959" w:themeColor="text1" w:themeTint="A6"/>
          <w:lang w:eastAsia="es-EC"/>
        </w:rPr>
      </w:pPr>
    </w:p>
    <w:p w14:paraId="267AF352" w14:textId="74CEB354"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 estos dos gestores de bases de datos se suman aplicaciones que permiten la ejecución programada de extracción de información, como son: Cent</w:t>
      </w:r>
      <w:r w:rsidR="00251ECD">
        <w:rPr>
          <w:rFonts w:ascii="Century Gothic" w:hAnsi="Century Gothic"/>
          <w:color w:val="595959" w:themeColor="text1" w:themeTint="A6"/>
          <w:lang w:eastAsia="es-EC"/>
        </w:rPr>
        <w:t>os</w:t>
      </w:r>
      <w:r w:rsidRPr="00527E0F">
        <w:rPr>
          <w:rFonts w:ascii="Century Gothic" w:hAnsi="Century Gothic"/>
          <w:color w:val="595959" w:themeColor="text1" w:themeTint="A6"/>
          <w:lang w:eastAsia="es-EC"/>
        </w:rPr>
        <w:t>, como sistema operativo y Pentaho, para construir procesos de extracción, transformación y carga (ETL).</w:t>
      </w:r>
    </w:p>
    <w:p w14:paraId="55D55FF3" w14:textId="77777777" w:rsidR="00492810" w:rsidRPr="00527E0F" w:rsidRDefault="00492810" w:rsidP="00443329">
      <w:pPr>
        <w:jc w:val="both"/>
        <w:rPr>
          <w:rFonts w:ascii="Century Gothic" w:hAnsi="Century Gothic"/>
          <w:color w:val="595959" w:themeColor="text1" w:themeTint="A6"/>
          <w:lang w:eastAsia="es-EC"/>
        </w:rPr>
      </w:pPr>
    </w:p>
    <w:p w14:paraId="75CED696" w14:textId="50799FEC"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Según lo establecido en los Convenios de Intercambio de Información, el INEC recibe información con diferente periodicidad desde las dos fuentes (SRI</w:t>
      </w:r>
      <w:r w:rsidR="00F66B08">
        <w:rPr>
          <w:rStyle w:val="Refdenotaalpie"/>
          <w:rFonts w:ascii="Century Gothic" w:hAnsi="Century Gothic"/>
          <w:color w:val="595959" w:themeColor="text1" w:themeTint="A6"/>
          <w:lang w:eastAsia="es-EC"/>
        </w:rPr>
        <w:footnoteReference w:id="18"/>
      </w:r>
      <w:r w:rsidRPr="00527E0F">
        <w:rPr>
          <w:rFonts w:ascii="Century Gothic" w:hAnsi="Century Gothic"/>
          <w:color w:val="595959" w:themeColor="text1" w:themeTint="A6"/>
          <w:lang w:eastAsia="es-EC"/>
        </w:rPr>
        <w:t xml:space="preserve"> de forma mensual, semanal y diaria – IESS de forma mensual); por ello, para la actualización de la información o para la inserción de los nuevos registros, particularmente del SRI, es necesario configurar las opciones de vistas materializadas del Sistema Gestor de Bases de Datos Oracle, frecuencia de actualización y tipo de actualización. Este proceso se realiza en la Dirección de Registros Administrativos, encargada de la actualización y custodia de los registros provenientes desde las fuentes.</w:t>
      </w:r>
    </w:p>
    <w:p w14:paraId="175D0411"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La frecuencia de actualización de la información que proviene del SRI, depende del volumen de información que se maneje en cada tabla entregada. Así, existen tablas cuyos datos registran menos de cinco cambios en la semana o en el mes, mientras que existen tablas que reciben más de cien transacciones diarias (actualizan o reciben nuevos datos). Desde el IESS la información se recibe de forma mensual con un retraso de dos meses.</w:t>
      </w:r>
    </w:p>
    <w:p w14:paraId="6671CBDA" w14:textId="77777777" w:rsidR="00492810" w:rsidRPr="00527E0F" w:rsidRDefault="00492810" w:rsidP="00443329">
      <w:pPr>
        <w:jc w:val="both"/>
        <w:rPr>
          <w:rFonts w:ascii="Century Gothic" w:hAnsi="Century Gothic"/>
          <w:color w:val="595959" w:themeColor="text1" w:themeTint="A6"/>
          <w:lang w:eastAsia="es-EC"/>
        </w:rPr>
      </w:pPr>
    </w:p>
    <w:p w14:paraId="36A65592"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Toda la información que se reciben en cada una de estas tablas se integra en una sola base de datos por cada fuente; para la construcción del DIEE se toma la información consolidada de cada fuente con corte al último día del año fiscal, y se la integra en una sola base que constituirá la base de datos primaria o inicial del DIEE.</w:t>
      </w:r>
    </w:p>
    <w:p w14:paraId="262D80AE" w14:textId="77777777" w:rsidR="00492810" w:rsidRPr="00527E0F" w:rsidRDefault="00492810" w:rsidP="00CF0C1E">
      <w:pPr>
        <w:rPr>
          <w:rFonts w:ascii="Century Gothic" w:hAnsi="Century Gothic"/>
          <w:color w:val="595959" w:themeColor="text1" w:themeTint="A6"/>
          <w:lang w:eastAsia="es-EC"/>
        </w:rPr>
      </w:pPr>
    </w:p>
    <w:p w14:paraId="3AAE675B" w14:textId="7B12FAFE" w:rsidR="00492810" w:rsidRPr="00443329" w:rsidRDefault="00492810" w:rsidP="00492810">
      <w:pPr>
        <w:pStyle w:val="Descripcin"/>
        <w:spacing w:after="0" w:line="276" w:lineRule="auto"/>
        <w:rPr>
          <w:rFonts w:ascii="Century Gothic" w:hAnsi="Century Gothic"/>
          <w:b w:val="0"/>
          <w:color w:val="595959" w:themeColor="text1" w:themeTint="A6"/>
          <w:sz w:val="24"/>
        </w:rPr>
      </w:pPr>
      <w:bookmarkStart w:id="218" w:name="_Toc117591184"/>
      <w:r w:rsidRPr="00443329">
        <w:rPr>
          <w:rFonts w:ascii="Century Gothic" w:hAnsi="Century Gothic"/>
          <w:color w:val="595959" w:themeColor="text1" w:themeTint="A6"/>
          <w:sz w:val="24"/>
        </w:rPr>
        <w:t xml:space="preserve">Tabla </w:t>
      </w:r>
      <w:r w:rsidRPr="00443329">
        <w:rPr>
          <w:rFonts w:ascii="Century Gothic" w:hAnsi="Century Gothic"/>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sz w:val="24"/>
        </w:rPr>
        <w:fldChar w:fldCharType="separate"/>
      </w:r>
      <w:r w:rsidR="004E3F87">
        <w:rPr>
          <w:rFonts w:ascii="Century Gothic" w:hAnsi="Century Gothic"/>
          <w:noProof/>
          <w:color w:val="595959" w:themeColor="text1" w:themeTint="A6"/>
          <w:sz w:val="24"/>
        </w:rPr>
        <w:t>8</w:t>
      </w:r>
      <w:r w:rsidRPr="00443329">
        <w:rPr>
          <w:rFonts w:ascii="Century Gothic" w:hAnsi="Century Gothic"/>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Lista de tablas proporcionadas por el SRI según periodicidad de actualización</w:t>
      </w:r>
      <w:bookmarkEnd w:id="218"/>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39"/>
        <w:gridCol w:w="1624"/>
      </w:tblGrid>
      <w:tr w:rsidR="00CF0C1E" w:rsidRPr="00527E0F" w14:paraId="43D6B572" w14:textId="77777777" w:rsidTr="00F67524">
        <w:trPr>
          <w:trHeight w:hRule="exact" w:val="315"/>
          <w:tblHeader/>
          <w:jc w:val="center"/>
        </w:trPr>
        <w:tc>
          <w:tcPr>
            <w:tcW w:w="3723" w:type="dxa"/>
            <w:shd w:val="clear" w:color="auto" w:fill="1F3864" w:themeFill="accent1" w:themeFillShade="80"/>
            <w:vAlign w:val="center"/>
            <w:hideMark/>
          </w:tcPr>
          <w:p w14:paraId="4FBFE739" w14:textId="77777777" w:rsidR="00492810" w:rsidRPr="00527E0F" w:rsidRDefault="00492810" w:rsidP="00443329">
            <w:pPr>
              <w:ind w:firstLineChars="500" w:firstLine="1200"/>
              <w:rPr>
                <w:rFonts w:ascii="Century Gothic" w:hAnsi="Century Gothic"/>
                <w:color w:val="FFFFFF" w:themeColor="background1"/>
                <w:lang w:eastAsia="es-EC"/>
              </w:rPr>
            </w:pPr>
            <w:r w:rsidRPr="00527E0F">
              <w:rPr>
                <w:rFonts w:ascii="Century Gothic" w:hAnsi="Century Gothic"/>
                <w:color w:val="FFFFFF" w:themeColor="background1"/>
                <w:lang w:eastAsia="es-EC"/>
              </w:rPr>
              <w:t>Nombres de Tablas</w:t>
            </w:r>
          </w:p>
        </w:tc>
        <w:tc>
          <w:tcPr>
            <w:tcW w:w="1377" w:type="dxa"/>
            <w:shd w:val="clear" w:color="auto" w:fill="1F3864" w:themeFill="accent1" w:themeFillShade="80"/>
            <w:vAlign w:val="center"/>
            <w:hideMark/>
          </w:tcPr>
          <w:p w14:paraId="10165565" w14:textId="77777777" w:rsidR="00492810" w:rsidRPr="00527E0F" w:rsidRDefault="00492810" w:rsidP="00CF0C1E">
            <w:pPr>
              <w:rPr>
                <w:rFonts w:ascii="Century Gothic" w:hAnsi="Century Gothic"/>
                <w:color w:val="FFFFFF" w:themeColor="background1"/>
                <w:lang w:eastAsia="es-EC"/>
              </w:rPr>
            </w:pPr>
            <w:r w:rsidRPr="00527E0F">
              <w:rPr>
                <w:rFonts w:ascii="Century Gothic" w:hAnsi="Century Gothic"/>
                <w:color w:val="FFFFFF" w:themeColor="background1"/>
                <w:lang w:eastAsia="es-EC"/>
              </w:rPr>
              <w:t>Periodicidad</w:t>
            </w:r>
          </w:p>
        </w:tc>
      </w:tr>
      <w:tr w:rsidR="00492810" w:rsidRPr="00527E0F" w14:paraId="190E32C7" w14:textId="77777777" w:rsidTr="00443329">
        <w:trPr>
          <w:trHeight w:hRule="exact" w:val="315"/>
          <w:jc w:val="center"/>
        </w:trPr>
        <w:tc>
          <w:tcPr>
            <w:tcW w:w="3723" w:type="dxa"/>
            <w:shd w:val="clear" w:color="auto" w:fill="auto"/>
            <w:vAlign w:val="center"/>
            <w:hideMark/>
          </w:tcPr>
          <w:p w14:paraId="1EFBA145"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ADM_NIVELES_GEOGRÁFICOS</w:t>
            </w:r>
          </w:p>
        </w:tc>
        <w:tc>
          <w:tcPr>
            <w:tcW w:w="1377" w:type="dxa"/>
            <w:shd w:val="clear" w:color="auto" w:fill="auto"/>
            <w:vAlign w:val="center"/>
            <w:hideMark/>
          </w:tcPr>
          <w:p w14:paraId="36669927"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1F1797E5" w14:textId="77777777" w:rsidTr="00443329">
        <w:trPr>
          <w:trHeight w:val="315"/>
          <w:jc w:val="center"/>
        </w:trPr>
        <w:tc>
          <w:tcPr>
            <w:tcW w:w="3723" w:type="dxa"/>
            <w:shd w:val="clear" w:color="auto" w:fill="auto"/>
            <w:vAlign w:val="center"/>
            <w:hideMark/>
          </w:tcPr>
          <w:p w14:paraId="50BECC51"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ADM_UBICACIONES_GEOGRÁFICAS</w:t>
            </w:r>
          </w:p>
        </w:tc>
        <w:tc>
          <w:tcPr>
            <w:tcW w:w="1377" w:type="dxa"/>
            <w:shd w:val="clear" w:color="auto" w:fill="auto"/>
            <w:vAlign w:val="center"/>
            <w:hideMark/>
          </w:tcPr>
          <w:p w14:paraId="42B118F7"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Semanal</w:t>
            </w:r>
          </w:p>
        </w:tc>
      </w:tr>
      <w:tr w:rsidR="00492810" w:rsidRPr="00527E0F" w14:paraId="6410EDBC" w14:textId="77777777" w:rsidTr="00443329">
        <w:trPr>
          <w:trHeight w:val="315"/>
          <w:jc w:val="center"/>
        </w:trPr>
        <w:tc>
          <w:tcPr>
            <w:tcW w:w="3723" w:type="dxa"/>
            <w:shd w:val="clear" w:color="auto" w:fill="auto"/>
            <w:vAlign w:val="center"/>
            <w:hideMark/>
          </w:tcPr>
          <w:p w14:paraId="672AEFB3"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ADM_NIVELES_ACT_ECONÓMICA</w:t>
            </w:r>
          </w:p>
        </w:tc>
        <w:tc>
          <w:tcPr>
            <w:tcW w:w="1377" w:type="dxa"/>
            <w:shd w:val="clear" w:color="auto" w:fill="auto"/>
            <w:vAlign w:val="center"/>
            <w:hideMark/>
          </w:tcPr>
          <w:p w14:paraId="753A991D"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414AF255" w14:textId="77777777" w:rsidTr="00443329">
        <w:trPr>
          <w:trHeight w:val="315"/>
          <w:jc w:val="center"/>
        </w:trPr>
        <w:tc>
          <w:tcPr>
            <w:tcW w:w="3723" w:type="dxa"/>
            <w:shd w:val="clear" w:color="auto" w:fill="auto"/>
            <w:vAlign w:val="center"/>
            <w:hideMark/>
          </w:tcPr>
          <w:p w14:paraId="787D3D67"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ADM_ACTIVIDADES_ECONÓMICAS</w:t>
            </w:r>
          </w:p>
        </w:tc>
        <w:tc>
          <w:tcPr>
            <w:tcW w:w="1377" w:type="dxa"/>
            <w:shd w:val="clear" w:color="auto" w:fill="auto"/>
            <w:vAlign w:val="center"/>
            <w:hideMark/>
          </w:tcPr>
          <w:p w14:paraId="77A99F23"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Semanal</w:t>
            </w:r>
          </w:p>
        </w:tc>
      </w:tr>
      <w:tr w:rsidR="00492810" w:rsidRPr="00527E0F" w14:paraId="0F1A1D0F" w14:textId="77777777" w:rsidTr="00443329">
        <w:trPr>
          <w:trHeight w:val="315"/>
          <w:jc w:val="center"/>
        </w:trPr>
        <w:tc>
          <w:tcPr>
            <w:tcW w:w="3723" w:type="dxa"/>
            <w:shd w:val="clear" w:color="auto" w:fill="auto"/>
            <w:vAlign w:val="center"/>
            <w:hideMark/>
          </w:tcPr>
          <w:p w14:paraId="733F8104"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ADM_TIPOS_MEDIOS_CONTACTO</w:t>
            </w:r>
          </w:p>
        </w:tc>
        <w:tc>
          <w:tcPr>
            <w:tcW w:w="1377" w:type="dxa"/>
            <w:shd w:val="clear" w:color="auto" w:fill="auto"/>
            <w:vAlign w:val="center"/>
            <w:hideMark/>
          </w:tcPr>
          <w:p w14:paraId="664563FF"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Semanal</w:t>
            </w:r>
          </w:p>
        </w:tc>
      </w:tr>
      <w:tr w:rsidR="00492810" w:rsidRPr="00527E0F" w14:paraId="0EEEEB75" w14:textId="77777777" w:rsidTr="00443329">
        <w:trPr>
          <w:trHeight w:val="315"/>
          <w:jc w:val="center"/>
        </w:trPr>
        <w:tc>
          <w:tcPr>
            <w:tcW w:w="3723" w:type="dxa"/>
            <w:shd w:val="clear" w:color="auto" w:fill="auto"/>
            <w:vAlign w:val="center"/>
            <w:hideMark/>
          </w:tcPr>
          <w:p w14:paraId="77D97FBE"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RUC_CLASES_CONTRIBUYENTE</w:t>
            </w:r>
          </w:p>
        </w:tc>
        <w:tc>
          <w:tcPr>
            <w:tcW w:w="1377" w:type="dxa"/>
            <w:shd w:val="clear" w:color="auto" w:fill="auto"/>
            <w:vAlign w:val="center"/>
            <w:hideMark/>
          </w:tcPr>
          <w:p w14:paraId="6E069E2C"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4EBDC9BC" w14:textId="77777777" w:rsidTr="00443329">
        <w:trPr>
          <w:trHeight w:val="315"/>
          <w:jc w:val="center"/>
        </w:trPr>
        <w:tc>
          <w:tcPr>
            <w:tcW w:w="3723" w:type="dxa"/>
            <w:shd w:val="clear" w:color="auto" w:fill="auto"/>
            <w:vAlign w:val="center"/>
            <w:hideMark/>
          </w:tcPr>
          <w:p w14:paraId="7ECBA983"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RUC_COMERCIO_EXTERIOR</w:t>
            </w:r>
          </w:p>
        </w:tc>
        <w:tc>
          <w:tcPr>
            <w:tcW w:w="1377" w:type="dxa"/>
            <w:shd w:val="clear" w:color="auto" w:fill="auto"/>
            <w:vAlign w:val="center"/>
            <w:hideMark/>
          </w:tcPr>
          <w:p w14:paraId="663307C4"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34C3773A" w14:textId="77777777" w:rsidTr="00443329">
        <w:trPr>
          <w:trHeight w:hRule="exact" w:val="315"/>
          <w:jc w:val="center"/>
        </w:trPr>
        <w:tc>
          <w:tcPr>
            <w:tcW w:w="3723" w:type="dxa"/>
            <w:shd w:val="clear" w:color="auto" w:fill="auto"/>
            <w:vAlign w:val="center"/>
            <w:hideMark/>
          </w:tcPr>
          <w:p w14:paraId="61F121D6"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RUC_CONTADORES</w:t>
            </w:r>
          </w:p>
        </w:tc>
        <w:tc>
          <w:tcPr>
            <w:tcW w:w="1377" w:type="dxa"/>
            <w:shd w:val="clear" w:color="auto" w:fill="auto"/>
            <w:vAlign w:val="center"/>
            <w:hideMark/>
          </w:tcPr>
          <w:p w14:paraId="7AAC0833"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3384290F" w14:textId="77777777" w:rsidTr="00443329">
        <w:trPr>
          <w:trHeight w:val="315"/>
          <w:jc w:val="center"/>
        </w:trPr>
        <w:tc>
          <w:tcPr>
            <w:tcW w:w="3723" w:type="dxa"/>
            <w:shd w:val="clear" w:color="auto" w:fill="auto"/>
            <w:vAlign w:val="center"/>
            <w:hideMark/>
          </w:tcPr>
          <w:p w14:paraId="49C1B8B9"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RUC_CONTRIBUYENTES</w:t>
            </w:r>
          </w:p>
        </w:tc>
        <w:tc>
          <w:tcPr>
            <w:tcW w:w="1377" w:type="dxa"/>
            <w:shd w:val="clear" w:color="auto" w:fill="auto"/>
            <w:vAlign w:val="center"/>
            <w:hideMark/>
          </w:tcPr>
          <w:p w14:paraId="27D86414"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5A274A40" w14:textId="77777777" w:rsidTr="00443329">
        <w:trPr>
          <w:trHeight w:val="315"/>
          <w:jc w:val="center"/>
        </w:trPr>
        <w:tc>
          <w:tcPr>
            <w:tcW w:w="3723" w:type="dxa"/>
            <w:shd w:val="clear" w:color="auto" w:fill="auto"/>
            <w:vAlign w:val="center"/>
            <w:hideMark/>
          </w:tcPr>
          <w:p w14:paraId="7027FD76"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RUC_ESTABLECIMIENTOS</w:t>
            </w:r>
          </w:p>
        </w:tc>
        <w:tc>
          <w:tcPr>
            <w:tcW w:w="1377" w:type="dxa"/>
            <w:shd w:val="clear" w:color="auto" w:fill="auto"/>
            <w:vAlign w:val="center"/>
            <w:hideMark/>
          </w:tcPr>
          <w:p w14:paraId="49338FFA"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185427BF" w14:textId="77777777" w:rsidTr="00443329">
        <w:trPr>
          <w:trHeight w:hRule="exact" w:val="315"/>
          <w:jc w:val="center"/>
        </w:trPr>
        <w:tc>
          <w:tcPr>
            <w:tcW w:w="3723" w:type="dxa"/>
            <w:shd w:val="clear" w:color="auto" w:fill="auto"/>
            <w:vAlign w:val="center"/>
            <w:hideMark/>
          </w:tcPr>
          <w:p w14:paraId="305870B0"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RUC_ESTADOS_ESTABLECIMIENTO</w:t>
            </w:r>
          </w:p>
        </w:tc>
        <w:tc>
          <w:tcPr>
            <w:tcW w:w="1377" w:type="dxa"/>
            <w:shd w:val="clear" w:color="auto" w:fill="auto"/>
            <w:vAlign w:val="center"/>
            <w:hideMark/>
          </w:tcPr>
          <w:p w14:paraId="4BE7D7F1"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0291017F" w14:textId="77777777" w:rsidTr="00443329">
        <w:trPr>
          <w:trHeight w:val="315"/>
          <w:jc w:val="center"/>
        </w:trPr>
        <w:tc>
          <w:tcPr>
            <w:tcW w:w="3723" w:type="dxa"/>
            <w:shd w:val="clear" w:color="auto" w:fill="auto"/>
            <w:vAlign w:val="center"/>
            <w:hideMark/>
          </w:tcPr>
          <w:p w14:paraId="6F859324"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RUC_ESTADOS_PERSONA_NATURAL</w:t>
            </w:r>
          </w:p>
        </w:tc>
        <w:tc>
          <w:tcPr>
            <w:tcW w:w="1377" w:type="dxa"/>
            <w:shd w:val="clear" w:color="auto" w:fill="auto"/>
            <w:vAlign w:val="center"/>
            <w:hideMark/>
          </w:tcPr>
          <w:p w14:paraId="726AB43A"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13E72155" w14:textId="77777777" w:rsidTr="00443329">
        <w:trPr>
          <w:trHeight w:hRule="exact" w:val="315"/>
          <w:jc w:val="center"/>
        </w:trPr>
        <w:tc>
          <w:tcPr>
            <w:tcW w:w="3723" w:type="dxa"/>
            <w:shd w:val="clear" w:color="auto" w:fill="auto"/>
            <w:vAlign w:val="center"/>
            <w:hideMark/>
          </w:tcPr>
          <w:p w14:paraId="0FF31252"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RUC_ESTADOS_SOCIEDAD</w:t>
            </w:r>
          </w:p>
        </w:tc>
        <w:tc>
          <w:tcPr>
            <w:tcW w:w="1377" w:type="dxa"/>
            <w:shd w:val="clear" w:color="auto" w:fill="auto"/>
            <w:vAlign w:val="center"/>
            <w:hideMark/>
          </w:tcPr>
          <w:p w14:paraId="7B129B92"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72294475" w14:textId="77777777" w:rsidTr="00443329">
        <w:trPr>
          <w:trHeight w:val="315"/>
          <w:jc w:val="center"/>
        </w:trPr>
        <w:tc>
          <w:tcPr>
            <w:tcW w:w="3723" w:type="dxa"/>
            <w:shd w:val="clear" w:color="auto" w:fill="auto"/>
            <w:vAlign w:val="center"/>
            <w:hideMark/>
          </w:tcPr>
          <w:p w14:paraId="24F685EF"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RUC_ORÍGENES_SOCIEDAD</w:t>
            </w:r>
          </w:p>
        </w:tc>
        <w:tc>
          <w:tcPr>
            <w:tcW w:w="1377" w:type="dxa"/>
            <w:shd w:val="clear" w:color="auto" w:fill="auto"/>
            <w:vAlign w:val="center"/>
            <w:hideMark/>
          </w:tcPr>
          <w:p w14:paraId="207CE350"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3FADBF90" w14:textId="77777777" w:rsidTr="00443329">
        <w:trPr>
          <w:trHeight w:hRule="exact" w:val="315"/>
          <w:jc w:val="center"/>
        </w:trPr>
        <w:tc>
          <w:tcPr>
            <w:tcW w:w="3723" w:type="dxa"/>
            <w:shd w:val="clear" w:color="auto" w:fill="auto"/>
            <w:vAlign w:val="center"/>
            <w:hideMark/>
          </w:tcPr>
          <w:p w14:paraId="343438E3"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RUC_TIPOS_CONTRIBUYENTE</w:t>
            </w:r>
          </w:p>
        </w:tc>
        <w:tc>
          <w:tcPr>
            <w:tcW w:w="1377" w:type="dxa"/>
            <w:shd w:val="clear" w:color="auto" w:fill="auto"/>
            <w:vAlign w:val="center"/>
            <w:hideMark/>
          </w:tcPr>
          <w:p w14:paraId="52772405"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59F3C057" w14:textId="77777777" w:rsidTr="00443329">
        <w:trPr>
          <w:trHeight w:val="315"/>
          <w:jc w:val="center"/>
        </w:trPr>
        <w:tc>
          <w:tcPr>
            <w:tcW w:w="3723" w:type="dxa"/>
            <w:shd w:val="clear" w:color="auto" w:fill="auto"/>
            <w:vAlign w:val="center"/>
            <w:hideMark/>
          </w:tcPr>
          <w:p w14:paraId="079AD8CC"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RUC_TIPOS_ESTABLECIMIENTO</w:t>
            </w:r>
          </w:p>
        </w:tc>
        <w:tc>
          <w:tcPr>
            <w:tcW w:w="1377" w:type="dxa"/>
            <w:shd w:val="clear" w:color="auto" w:fill="auto"/>
            <w:vAlign w:val="center"/>
            <w:hideMark/>
          </w:tcPr>
          <w:p w14:paraId="5A7BC9A6"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0188E2A5" w14:textId="77777777" w:rsidTr="00443329">
        <w:trPr>
          <w:trHeight w:val="315"/>
          <w:jc w:val="center"/>
        </w:trPr>
        <w:tc>
          <w:tcPr>
            <w:tcW w:w="3723" w:type="dxa"/>
            <w:shd w:val="clear" w:color="auto" w:fill="auto"/>
            <w:vAlign w:val="center"/>
            <w:hideMark/>
          </w:tcPr>
          <w:p w14:paraId="7726BE0A"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RUC_MEDIOS_CONTACTO</w:t>
            </w:r>
          </w:p>
        </w:tc>
        <w:tc>
          <w:tcPr>
            <w:tcW w:w="1377" w:type="dxa"/>
            <w:shd w:val="clear" w:color="auto" w:fill="auto"/>
            <w:vAlign w:val="center"/>
            <w:hideMark/>
          </w:tcPr>
          <w:p w14:paraId="2455902D"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7EC02125" w14:textId="77777777" w:rsidTr="00443329">
        <w:trPr>
          <w:trHeight w:val="315"/>
          <w:jc w:val="center"/>
        </w:trPr>
        <w:tc>
          <w:tcPr>
            <w:tcW w:w="3723" w:type="dxa"/>
            <w:shd w:val="clear" w:color="auto" w:fill="auto"/>
            <w:vAlign w:val="center"/>
            <w:hideMark/>
          </w:tcPr>
          <w:p w14:paraId="7B6B94AD"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RUC_ACT_ECO_ESTABLECIMIENTOS</w:t>
            </w:r>
          </w:p>
        </w:tc>
        <w:tc>
          <w:tcPr>
            <w:tcW w:w="1377" w:type="dxa"/>
            <w:shd w:val="clear" w:color="auto" w:fill="auto"/>
            <w:vAlign w:val="center"/>
            <w:hideMark/>
          </w:tcPr>
          <w:p w14:paraId="6933AEA7"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5AFDB8EE" w14:textId="77777777" w:rsidTr="00443329">
        <w:trPr>
          <w:trHeight w:val="315"/>
          <w:jc w:val="center"/>
        </w:trPr>
        <w:tc>
          <w:tcPr>
            <w:tcW w:w="3723" w:type="dxa"/>
            <w:shd w:val="clear" w:color="auto" w:fill="auto"/>
            <w:vAlign w:val="center"/>
            <w:hideMark/>
          </w:tcPr>
          <w:p w14:paraId="2BC47889"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RUC_OCUPACIONES</w:t>
            </w:r>
          </w:p>
        </w:tc>
        <w:tc>
          <w:tcPr>
            <w:tcW w:w="1377" w:type="dxa"/>
            <w:shd w:val="clear" w:color="auto" w:fill="auto"/>
            <w:vAlign w:val="center"/>
            <w:hideMark/>
          </w:tcPr>
          <w:p w14:paraId="2B50EF6B"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r w:rsidR="00492810" w:rsidRPr="00527E0F" w14:paraId="2DEB70E0" w14:textId="77777777" w:rsidTr="00443329">
        <w:trPr>
          <w:trHeight w:val="315"/>
          <w:jc w:val="center"/>
        </w:trPr>
        <w:tc>
          <w:tcPr>
            <w:tcW w:w="3723" w:type="dxa"/>
            <w:shd w:val="clear" w:color="auto" w:fill="auto"/>
            <w:vAlign w:val="center"/>
            <w:hideMark/>
          </w:tcPr>
          <w:p w14:paraId="52AC733A"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RUC_OCUPACIONES_CONTRIBUYEN</w:t>
            </w:r>
          </w:p>
        </w:tc>
        <w:tc>
          <w:tcPr>
            <w:tcW w:w="1377" w:type="dxa"/>
            <w:shd w:val="clear" w:color="auto" w:fill="auto"/>
            <w:vAlign w:val="center"/>
            <w:hideMark/>
          </w:tcPr>
          <w:p w14:paraId="3CCD6012"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4E47EDA9" w14:textId="77777777" w:rsidTr="00443329">
        <w:trPr>
          <w:trHeight w:val="315"/>
          <w:jc w:val="center"/>
        </w:trPr>
        <w:tc>
          <w:tcPr>
            <w:tcW w:w="3723" w:type="dxa"/>
            <w:shd w:val="clear" w:color="auto" w:fill="auto"/>
            <w:vAlign w:val="center"/>
            <w:hideMark/>
          </w:tcPr>
          <w:p w14:paraId="3C560F27"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NOT_DOCUMENTO_NOTIFICACIÓN</w:t>
            </w:r>
          </w:p>
        </w:tc>
        <w:tc>
          <w:tcPr>
            <w:tcW w:w="1377" w:type="dxa"/>
            <w:shd w:val="clear" w:color="auto" w:fill="auto"/>
            <w:vAlign w:val="center"/>
            <w:hideMark/>
          </w:tcPr>
          <w:p w14:paraId="4C901379"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632176FC" w14:textId="77777777" w:rsidTr="00443329">
        <w:trPr>
          <w:trHeight w:hRule="exact" w:val="315"/>
          <w:jc w:val="center"/>
        </w:trPr>
        <w:tc>
          <w:tcPr>
            <w:tcW w:w="3723" w:type="dxa"/>
            <w:shd w:val="clear" w:color="auto" w:fill="auto"/>
            <w:vAlign w:val="center"/>
            <w:hideMark/>
          </w:tcPr>
          <w:p w14:paraId="38754B08"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NOT_DIRECCIÓN_CONTRIBUYENTE</w:t>
            </w:r>
          </w:p>
        </w:tc>
        <w:tc>
          <w:tcPr>
            <w:tcW w:w="1377" w:type="dxa"/>
            <w:shd w:val="clear" w:color="auto" w:fill="auto"/>
            <w:vAlign w:val="center"/>
            <w:hideMark/>
          </w:tcPr>
          <w:p w14:paraId="06CC3532"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53DAC490" w14:textId="77777777" w:rsidTr="00443329">
        <w:trPr>
          <w:trHeight w:hRule="exact" w:val="315"/>
          <w:jc w:val="center"/>
        </w:trPr>
        <w:tc>
          <w:tcPr>
            <w:tcW w:w="3723" w:type="dxa"/>
            <w:shd w:val="clear" w:color="auto" w:fill="auto"/>
            <w:vAlign w:val="center"/>
            <w:hideMark/>
          </w:tcPr>
          <w:p w14:paraId="15DE87C1" w14:textId="77777777" w:rsidR="00492810" w:rsidRPr="00527E0F" w:rsidRDefault="00492810" w:rsidP="00CF0C1E">
            <w:pPr>
              <w:rPr>
                <w:rFonts w:ascii="Century Gothic" w:hAnsi="Century Gothic"/>
                <w:color w:val="595959" w:themeColor="text1" w:themeTint="A6"/>
                <w:lang w:val="en-US" w:eastAsia="es-EC"/>
              </w:rPr>
            </w:pPr>
            <w:r w:rsidRPr="00527E0F">
              <w:rPr>
                <w:rFonts w:ascii="Century Gothic" w:hAnsi="Century Gothic"/>
                <w:color w:val="595959" w:themeColor="text1" w:themeTint="A6"/>
                <w:lang w:val="en-US" w:eastAsia="es-EC"/>
              </w:rPr>
              <w:t>OWB_MVW_INE_ANEXO3_ESTRUC_F</w:t>
            </w:r>
          </w:p>
        </w:tc>
        <w:tc>
          <w:tcPr>
            <w:tcW w:w="1377" w:type="dxa"/>
            <w:shd w:val="clear" w:color="auto" w:fill="auto"/>
            <w:vAlign w:val="center"/>
            <w:hideMark/>
          </w:tcPr>
          <w:p w14:paraId="150AA14D"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29240339" w14:textId="77777777" w:rsidTr="00443329">
        <w:trPr>
          <w:trHeight w:hRule="exact" w:val="315"/>
          <w:jc w:val="center"/>
        </w:trPr>
        <w:tc>
          <w:tcPr>
            <w:tcW w:w="3723" w:type="dxa"/>
            <w:shd w:val="clear" w:color="auto" w:fill="auto"/>
            <w:vAlign w:val="center"/>
            <w:hideMark/>
          </w:tcPr>
          <w:p w14:paraId="0AB3ADFE" w14:textId="77777777" w:rsidR="00492810" w:rsidRPr="00527E0F" w:rsidRDefault="00492810" w:rsidP="00CF0C1E">
            <w:pPr>
              <w:rPr>
                <w:rFonts w:ascii="Century Gothic" w:hAnsi="Century Gothic"/>
                <w:color w:val="595959" w:themeColor="text1" w:themeTint="A6"/>
                <w:lang w:val="en-US" w:eastAsia="es-EC"/>
              </w:rPr>
            </w:pPr>
            <w:r w:rsidRPr="00527E0F">
              <w:rPr>
                <w:rFonts w:ascii="Century Gothic" w:hAnsi="Century Gothic"/>
                <w:color w:val="595959" w:themeColor="text1" w:themeTint="A6"/>
                <w:lang w:val="en-US" w:eastAsia="es-EC"/>
              </w:rPr>
              <w:t>OWB_MVW_INE_ANEXO3_ESTRUC_F</w:t>
            </w:r>
          </w:p>
        </w:tc>
        <w:tc>
          <w:tcPr>
            <w:tcW w:w="1377" w:type="dxa"/>
            <w:shd w:val="clear" w:color="auto" w:fill="auto"/>
            <w:vAlign w:val="center"/>
            <w:hideMark/>
          </w:tcPr>
          <w:p w14:paraId="2A26AF68" w14:textId="77777777" w:rsidR="00492810" w:rsidRPr="00527E0F" w:rsidRDefault="00492810" w:rsidP="00CF0C1E">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Diaria</w:t>
            </w:r>
          </w:p>
        </w:tc>
      </w:tr>
      <w:tr w:rsidR="00492810" w:rsidRPr="00527E0F" w14:paraId="7D5D0253" w14:textId="77777777" w:rsidTr="00443329">
        <w:trPr>
          <w:trHeight w:val="315"/>
          <w:jc w:val="center"/>
        </w:trPr>
        <w:tc>
          <w:tcPr>
            <w:tcW w:w="3723" w:type="dxa"/>
            <w:shd w:val="clear" w:color="auto" w:fill="auto"/>
            <w:vAlign w:val="center"/>
            <w:hideMark/>
          </w:tcPr>
          <w:p w14:paraId="659C5E66" w14:textId="77777777" w:rsidR="00492810" w:rsidRPr="00527E0F" w:rsidRDefault="00492810" w:rsidP="00970248">
            <w:pPr>
              <w:rPr>
                <w:rFonts w:ascii="Century Gothic" w:hAnsi="Century Gothic"/>
                <w:color w:val="595959" w:themeColor="text1" w:themeTint="A6"/>
                <w:lang w:val="en-US" w:eastAsia="es-EC"/>
              </w:rPr>
            </w:pPr>
            <w:r w:rsidRPr="00527E0F">
              <w:rPr>
                <w:rFonts w:ascii="Century Gothic" w:hAnsi="Century Gothic"/>
                <w:color w:val="595959" w:themeColor="text1" w:themeTint="A6"/>
                <w:lang w:val="en-US" w:eastAsia="es-EC"/>
              </w:rPr>
              <w:t>OWB_MVW_INE_ANEXO2_INAR_F104</w:t>
            </w:r>
          </w:p>
        </w:tc>
        <w:tc>
          <w:tcPr>
            <w:tcW w:w="1377" w:type="dxa"/>
            <w:shd w:val="clear" w:color="auto" w:fill="auto"/>
            <w:vAlign w:val="center"/>
            <w:hideMark/>
          </w:tcPr>
          <w:p w14:paraId="3ADE4DD7" w14:textId="77777777" w:rsidR="00492810" w:rsidRPr="00527E0F" w:rsidRDefault="00492810" w:rsidP="00970248">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Mensual</w:t>
            </w:r>
          </w:p>
        </w:tc>
      </w:tr>
    </w:tbl>
    <w:p w14:paraId="742F2675" w14:textId="0AD18C55" w:rsidR="00492810" w:rsidRPr="00443329" w:rsidRDefault="00492810" w:rsidP="00970248">
      <w:pPr>
        <w:ind w:left="708" w:firstLine="708"/>
        <w:rPr>
          <w:rFonts w:ascii="Century Gothic" w:hAnsi="Century Gothic"/>
          <w:color w:val="595959" w:themeColor="text1" w:themeTint="A6"/>
          <w:sz w:val="16"/>
          <w:szCs w:val="16"/>
        </w:rPr>
      </w:pPr>
      <w:r w:rsidRPr="00443329">
        <w:rPr>
          <w:rFonts w:ascii="Century Gothic" w:hAnsi="Century Gothic"/>
          <w:b/>
          <w:color w:val="595959" w:themeColor="text1" w:themeTint="A6"/>
          <w:sz w:val="16"/>
          <w:szCs w:val="16"/>
        </w:rPr>
        <w:t>Fuente:</w:t>
      </w:r>
      <w:r w:rsidRPr="00443329">
        <w:rPr>
          <w:rFonts w:ascii="Century Gothic" w:hAnsi="Century Gothic"/>
          <w:color w:val="595959" w:themeColor="text1" w:themeTint="A6"/>
          <w:sz w:val="16"/>
          <w:szCs w:val="16"/>
        </w:rPr>
        <w:t xml:space="preserve"> Convenio SRI 2012</w:t>
      </w:r>
    </w:p>
    <w:p w14:paraId="4FE33D88" w14:textId="77777777" w:rsidR="00492810" w:rsidRPr="00527E0F" w:rsidRDefault="00492810" w:rsidP="00CF0C1E">
      <w:pPr>
        <w:rPr>
          <w:rFonts w:ascii="Century Gothic" w:hAnsi="Century Gothic"/>
          <w:color w:val="595959" w:themeColor="text1" w:themeTint="A6"/>
          <w:lang w:eastAsia="es-EC"/>
        </w:rPr>
      </w:pPr>
    </w:p>
    <w:p w14:paraId="5BBC5AF4"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Sobre esta base de datos se realizan validaciones, verificaciones y análisis de consistencia aplicando el método deductivo; es decir, se parte de una perspectiva general para ir identificando casos específicos que requieren ser revisados con mayor detalle, sea a nivel de variable o de registro. Una vez validada la información, si existen cambios, estos se actualizan de tal manera que se pueda contar con una base de datos validada y consistente a partir de la cual se generarán los productos estadísticos de publicación.</w:t>
      </w:r>
    </w:p>
    <w:p w14:paraId="63FA2698" w14:textId="77777777" w:rsidR="00492810" w:rsidRPr="00527E0F" w:rsidRDefault="00492810" w:rsidP="00443329">
      <w:pPr>
        <w:jc w:val="both"/>
        <w:rPr>
          <w:rFonts w:ascii="Century Gothic" w:hAnsi="Century Gothic"/>
          <w:color w:val="595959" w:themeColor="text1" w:themeTint="A6"/>
          <w:lang w:eastAsia="es-EC"/>
        </w:rPr>
      </w:pPr>
    </w:p>
    <w:p w14:paraId="0EA77AE6" w14:textId="77777777" w:rsidR="00492810" w:rsidRPr="00527E0F"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En esta fase se actualizan también los criterios de validación y matriz de prioridades (ver anexo 5), en donde se indica las reglas de actualización de variables según las fuentes</w:t>
      </w:r>
      <w:r w:rsidRPr="00527E0F">
        <w:rPr>
          <w:rStyle w:val="Refdenotaalpie"/>
          <w:rFonts w:ascii="Century Gothic" w:hAnsi="Century Gothic"/>
          <w:color w:val="595959" w:themeColor="text1" w:themeTint="A6"/>
          <w:lang w:eastAsia="es-EC"/>
        </w:rPr>
        <w:footnoteReference w:id="19"/>
      </w:r>
      <w:r w:rsidRPr="00527E0F">
        <w:rPr>
          <w:rFonts w:ascii="Century Gothic" w:hAnsi="Century Gothic"/>
          <w:color w:val="595959" w:themeColor="text1" w:themeTint="A6"/>
          <w:lang w:eastAsia="es-EC"/>
        </w:rPr>
        <w:t>. Estos criterios están contenidos en un solo documento y se convierten en las directrices del procesamiento, pues las validaciones permiten limpiar y depurar la información, mientras que la matriz de prioridades permite definir qué fuente de información proporciona la información más relevante cuando una variable tiene dos o más fuentes proveedoras de información, por ejemplo, la información de geografía desde el SRI tiene prioridad uno (1) frente a la información de geografía que provee el IESS que tiene prioridad dos (2).</w:t>
      </w:r>
    </w:p>
    <w:p w14:paraId="4A228FB0" w14:textId="77777777" w:rsidR="00492810" w:rsidRPr="00527E0F" w:rsidRDefault="00492810" w:rsidP="00443329">
      <w:pPr>
        <w:jc w:val="both"/>
        <w:rPr>
          <w:rFonts w:ascii="Century Gothic" w:hAnsi="Century Gothic"/>
          <w:color w:val="595959" w:themeColor="text1" w:themeTint="A6"/>
          <w:lang w:eastAsia="es-EC"/>
        </w:rPr>
      </w:pPr>
    </w:p>
    <w:p w14:paraId="303C3B10" w14:textId="4F782ECF" w:rsidR="00932569" w:rsidRDefault="00492810" w:rsidP="00970248">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Estos documentos proporcionan la guía para el desarrollo de los procesos de “extracción” de información desde la base de datos replicada, “transformación” </w:t>
      </w:r>
      <w:r w:rsidR="00850702" w:rsidRPr="00527E0F">
        <w:rPr>
          <w:rFonts w:ascii="Century Gothic" w:hAnsi="Century Gothic"/>
          <w:color w:val="595959" w:themeColor="text1" w:themeTint="A6"/>
          <w:lang w:eastAsia="es-EC"/>
        </w:rPr>
        <w:t>de acuerdo con</w:t>
      </w:r>
      <w:r w:rsidRPr="00527E0F">
        <w:rPr>
          <w:rFonts w:ascii="Century Gothic" w:hAnsi="Century Gothic"/>
          <w:color w:val="595959" w:themeColor="text1" w:themeTint="A6"/>
          <w:lang w:eastAsia="es-EC"/>
        </w:rPr>
        <w:t xml:space="preserve"> la lógica que se maneje internamente en la institución y “carga” de datos a la estructura de la base de datos del Directorio de Empresas (ETL).</w:t>
      </w:r>
      <w:bookmarkStart w:id="219" w:name="_Toc25932416"/>
    </w:p>
    <w:p w14:paraId="34B8E2D7" w14:textId="77777777" w:rsidR="00583347" w:rsidRDefault="00583347" w:rsidP="00970248">
      <w:pPr>
        <w:jc w:val="both"/>
        <w:rPr>
          <w:rFonts w:ascii="Century Gothic" w:hAnsi="Century Gothic"/>
          <w:color w:val="595959" w:themeColor="text1" w:themeTint="A6"/>
          <w:lang w:eastAsia="es-EC"/>
        </w:rPr>
      </w:pPr>
    </w:p>
    <w:p w14:paraId="5D59EF3E" w14:textId="0034B2B4" w:rsidR="00492810" w:rsidRPr="00443329" w:rsidRDefault="00492810" w:rsidP="00492810">
      <w:pPr>
        <w:pStyle w:val="Descripcin"/>
        <w:spacing w:after="0" w:line="276" w:lineRule="auto"/>
        <w:jc w:val="center"/>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Ilustración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Ilustración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1</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Procesamiento de Datos DIEE</w:t>
      </w:r>
      <w:bookmarkEnd w:id="219"/>
    </w:p>
    <w:p w14:paraId="5E3C151C" w14:textId="77777777" w:rsidR="00492810" w:rsidRPr="00527E0F" w:rsidRDefault="00492810" w:rsidP="00CF0C1E">
      <w:pPr>
        <w:jc w:val="center"/>
        <w:rPr>
          <w:rFonts w:ascii="Century Gothic" w:hAnsi="Century Gothic"/>
          <w:color w:val="595959" w:themeColor="text1" w:themeTint="A6"/>
          <w:lang w:eastAsia="es-EC"/>
        </w:rPr>
      </w:pPr>
      <w:r w:rsidRPr="00443329">
        <w:rPr>
          <w:rFonts w:ascii="Century Gothic" w:hAnsi="Century Gothic"/>
          <w:noProof/>
          <w:color w:val="000000"/>
          <w:lang w:eastAsia="es-EC"/>
        </w:rPr>
        <w:drawing>
          <wp:inline distT="0" distB="0" distL="0" distR="0" wp14:anchorId="631A93FD" wp14:editId="34CCC3F5">
            <wp:extent cx="4979792" cy="225410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8546" cy="2262591"/>
                    </a:xfrm>
                    <a:prstGeom prst="rect">
                      <a:avLst/>
                    </a:prstGeom>
                    <a:noFill/>
                    <a:ln>
                      <a:noFill/>
                    </a:ln>
                  </pic:spPr>
                </pic:pic>
              </a:graphicData>
            </a:graphic>
          </wp:inline>
        </w:drawing>
      </w:r>
    </w:p>
    <w:p w14:paraId="4202A91D" w14:textId="77777777" w:rsidR="00492810" w:rsidRDefault="00492810" w:rsidP="001056B6">
      <w:pPr>
        <w:autoSpaceDE w:val="0"/>
        <w:autoSpaceDN w:val="0"/>
        <w:adjustRightInd w:val="0"/>
        <w:rPr>
          <w:rFonts w:ascii="Century Gothic" w:hAnsi="Century Gothic"/>
          <w:color w:val="595959" w:themeColor="text1" w:themeTint="A6"/>
          <w:sz w:val="16"/>
          <w:szCs w:val="16"/>
        </w:rPr>
      </w:pPr>
      <w:r w:rsidRPr="00443329">
        <w:rPr>
          <w:rFonts w:ascii="Century Gothic" w:hAnsi="Century Gothic"/>
          <w:b/>
          <w:color w:val="595959" w:themeColor="text1" w:themeTint="A6"/>
          <w:sz w:val="16"/>
          <w:szCs w:val="16"/>
        </w:rPr>
        <w:t xml:space="preserve">Elaborado por: </w:t>
      </w:r>
      <w:r w:rsidRPr="00443329">
        <w:rPr>
          <w:rFonts w:ascii="Century Gothic" w:hAnsi="Century Gothic"/>
          <w:color w:val="595959" w:themeColor="text1" w:themeTint="A6"/>
          <w:sz w:val="16"/>
          <w:szCs w:val="16"/>
        </w:rPr>
        <w:t>Directorio de Empresas y Establecimientos</w:t>
      </w:r>
    </w:p>
    <w:p w14:paraId="495DAA31" w14:textId="03519D7F" w:rsidR="00492810" w:rsidRPr="00443329" w:rsidRDefault="00492810" w:rsidP="00443329">
      <w:pPr>
        <w:pStyle w:val="TITULOINEC"/>
        <w:numPr>
          <w:ilvl w:val="0"/>
          <w:numId w:val="33"/>
        </w:numPr>
        <w:jc w:val="left"/>
      </w:pPr>
      <w:bookmarkStart w:id="220" w:name="_Toc53757441"/>
      <w:r w:rsidRPr="00443329">
        <w:t>CAPTACIÓN</w:t>
      </w:r>
      <w:bookmarkEnd w:id="220"/>
    </w:p>
    <w:bookmarkEnd w:id="217"/>
    <w:p w14:paraId="2956E3D5"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056F278B"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En esta sección se describe el proceso de captación de la información proveniente de los registros administrativos utilizados para la construcción del DIEE. El proceso de captación lo realiza la Dirección de Registros Administrativos del INEC, en función de lo establecido en los convenios de intercambio de información suscritos con el SRI e IESS, considerando la periodicidad de entrega de información y variables definidas para el intercambio.</w:t>
      </w:r>
    </w:p>
    <w:p w14:paraId="144CA5B6" w14:textId="77777777" w:rsidR="00492810" w:rsidRPr="00443329" w:rsidRDefault="00492810" w:rsidP="00492810">
      <w:pPr>
        <w:pStyle w:val="Sinespaciado"/>
        <w:rPr>
          <w:rFonts w:ascii="Century Gothic" w:hAnsi="Century Gothic"/>
          <w:color w:val="595959" w:themeColor="text1" w:themeTint="A6"/>
          <w:sz w:val="24"/>
        </w:rPr>
      </w:pPr>
    </w:p>
    <w:p w14:paraId="5B7E0305" w14:textId="3C9B1863" w:rsidR="00492810" w:rsidRPr="00176DC8" w:rsidRDefault="00492810" w:rsidP="00443329">
      <w:pPr>
        <w:pStyle w:val="SUBTITULOINEC"/>
        <w:numPr>
          <w:ilvl w:val="1"/>
          <w:numId w:val="33"/>
        </w:numPr>
        <w:jc w:val="both"/>
        <w:rPr>
          <w:sz w:val="32"/>
          <w:szCs w:val="32"/>
        </w:rPr>
      </w:pPr>
      <w:bookmarkStart w:id="221" w:name="_Toc412998143"/>
      <w:bookmarkStart w:id="222" w:name="_Toc53757442"/>
      <w:r w:rsidRPr="00176DC8">
        <w:rPr>
          <w:sz w:val="32"/>
          <w:szCs w:val="32"/>
        </w:rPr>
        <w:t xml:space="preserve">Planificación de la </w:t>
      </w:r>
      <w:bookmarkEnd w:id="221"/>
      <w:r w:rsidRPr="00176DC8">
        <w:rPr>
          <w:sz w:val="32"/>
          <w:szCs w:val="32"/>
        </w:rPr>
        <w:t>captación</w:t>
      </w:r>
      <w:bookmarkEnd w:id="222"/>
    </w:p>
    <w:p w14:paraId="0C46B0BC" w14:textId="77777777" w:rsidR="00492810" w:rsidRPr="00443329" w:rsidRDefault="00492810" w:rsidP="00492810">
      <w:pPr>
        <w:pStyle w:val="Sinespaciado"/>
        <w:spacing w:line="276" w:lineRule="auto"/>
        <w:jc w:val="both"/>
        <w:rPr>
          <w:rFonts w:ascii="Century Gothic" w:hAnsi="Century Gothic"/>
          <w:color w:val="595959" w:themeColor="text1" w:themeTint="A6"/>
          <w:sz w:val="24"/>
        </w:rPr>
      </w:pPr>
    </w:p>
    <w:p w14:paraId="0EF6CE94" w14:textId="325B81DD" w:rsidR="00492810"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Directorio de Empresas (DIEE) se estructura tomando la información de diferentes fuentes, entre las principales se tiene: el SRI, IESS, Superintendencia de Compañías, Ministerio de Educación, bases de datos con verificaciones de call center</w:t>
      </w:r>
      <w:r w:rsidRPr="00443329">
        <w:rPr>
          <w:rStyle w:val="Refdenotaalpie"/>
          <w:rFonts w:ascii="Century Gothic" w:hAnsi="Century Gothic"/>
          <w:color w:val="595959" w:themeColor="text1" w:themeTint="A6"/>
          <w:sz w:val="24"/>
        </w:rPr>
        <w:footnoteReference w:id="20"/>
      </w:r>
      <w:r w:rsidRPr="00443329">
        <w:rPr>
          <w:rFonts w:ascii="Century Gothic" w:hAnsi="Century Gothic"/>
          <w:color w:val="595959" w:themeColor="text1" w:themeTint="A6"/>
          <w:sz w:val="24"/>
        </w:rPr>
        <w:t>, e información obtenida de operaciones estadísticas del INEC como son: Encuesta Estructural Empresarial, Encuesta para actualización cartográfica del Directorio de Empresas. Esta información es complementada y validada, en el proceso se utilizan matrices de equivalencias para lograr la correspondencia entre las codificaciones del DIEE y los registros administrativos.</w:t>
      </w:r>
    </w:p>
    <w:p w14:paraId="03171053" w14:textId="77777777" w:rsidR="005B78BB" w:rsidRDefault="005B78BB" w:rsidP="00443329">
      <w:pPr>
        <w:pStyle w:val="Sinespaciado"/>
        <w:spacing w:line="276" w:lineRule="auto"/>
        <w:jc w:val="both"/>
        <w:rPr>
          <w:rFonts w:ascii="Century Gothic" w:hAnsi="Century Gothic"/>
          <w:color w:val="595959" w:themeColor="text1" w:themeTint="A6"/>
          <w:sz w:val="24"/>
        </w:rPr>
      </w:pPr>
    </w:p>
    <w:p w14:paraId="4B563F15"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propósito de la captación de información es crear un entorno de Base de datos similar al que tiene el proveedor de información en su base, para ello es necesario conocer:</w:t>
      </w:r>
    </w:p>
    <w:p w14:paraId="46BEF739"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p>
    <w:p w14:paraId="271F2372" w14:textId="77777777" w:rsidR="00492810" w:rsidRPr="00443329" w:rsidRDefault="00492810" w:rsidP="00443329">
      <w:pPr>
        <w:pStyle w:val="Sinespaciado"/>
        <w:numPr>
          <w:ilvl w:val="0"/>
          <w:numId w:val="15"/>
        </w:numPr>
        <w:spacing w:line="276" w:lineRule="auto"/>
        <w:ind w:left="709" w:hanging="283"/>
        <w:jc w:val="both"/>
        <w:rPr>
          <w:rFonts w:ascii="Century Gothic" w:hAnsi="Century Gothic"/>
          <w:color w:val="595959" w:themeColor="text1" w:themeTint="A6"/>
          <w:sz w:val="24"/>
        </w:rPr>
      </w:pPr>
      <w:r w:rsidRPr="00443329">
        <w:rPr>
          <w:rFonts w:ascii="Century Gothic" w:hAnsi="Century Gothic"/>
          <w:color w:val="595959" w:themeColor="text1" w:themeTint="A6"/>
          <w:sz w:val="24"/>
        </w:rPr>
        <w:t>Medio de comunicación a usar</w:t>
      </w:r>
    </w:p>
    <w:p w14:paraId="709F88CE" w14:textId="77777777" w:rsidR="00492810" w:rsidRPr="00443329" w:rsidRDefault="00492810" w:rsidP="00443329">
      <w:pPr>
        <w:pStyle w:val="Sinespaciado"/>
        <w:numPr>
          <w:ilvl w:val="0"/>
          <w:numId w:val="15"/>
        </w:numPr>
        <w:tabs>
          <w:tab w:val="left" w:pos="709"/>
        </w:tabs>
        <w:spacing w:line="276" w:lineRule="auto"/>
        <w:ind w:left="1278" w:hanging="852"/>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Variables a recibir</w:t>
      </w:r>
    </w:p>
    <w:p w14:paraId="3350301C" w14:textId="77777777" w:rsidR="00492810" w:rsidRPr="00443329" w:rsidRDefault="00492810" w:rsidP="00443329">
      <w:pPr>
        <w:pStyle w:val="Sinespaciado"/>
        <w:numPr>
          <w:ilvl w:val="0"/>
          <w:numId w:val="15"/>
        </w:numPr>
        <w:tabs>
          <w:tab w:val="left" w:pos="709"/>
        </w:tabs>
        <w:spacing w:line="276" w:lineRule="auto"/>
        <w:ind w:left="1278" w:hanging="852"/>
        <w:jc w:val="both"/>
        <w:rPr>
          <w:rFonts w:ascii="Century Gothic" w:hAnsi="Century Gothic"/>
          <w:color w:val="595959" w:themeColor="text1" w:themeTint="A6"/>
          <w:sz w:val="24"/>
        </w:rPr>
      </w:pPr>
      <w:r w:rsidRPr="00443329">
        <w:rPr>
          <w:rFonts w:ascii="Century Gothic" w:hAnsi="Century Gothic"/>
          <w:color w:val="595959" w:themeColor="text1" w:themeTint="A6"/>
          <w:sz w:val="24"/>
        </w:rPr>
        <w:t>Formato de información enviada por el proveedor</w:t>
      </w:r>
    </w:p>
    <w:p w14:paraId="265283F5" w14:textId="77777777" w:rsidR="00492810" w:rsidRPr="00443329" w:rsidRDefault="00492810" w:rsidP="003C20C6">
      <w:pPr>
        <w:pStyle w:val="Sinespaciado"/>
        <w:numPr>
          <w:ilvl w:val="0"/>
          <w:numId w:val="15"/>
        </w:numPr>
        <w:tabs>
          <w:tab w:val="left" w:pos="709"/>
        </w:tabs>
        <w:spacing w:line="276" w:lineRule="auto"/>
        <w:ind w:left="1278" w:hanging="852"/>
        <w:jc w:val="both"/>
        <w:rPr>
          <w:rFonts w:ascii="Century Gothic" w:hAnsi="Century Gothic"/>
          <w:color w:val="595959" w:themeColor="text1" w:themeTint="A6"/>
          <w:sz w:val="24"/>
        </w:rPr>
      </w:pPr>
      <w:r w:rsidRPr="00443329">
        <w:rPr>
          <w:rFonts w:ascii="Century Gothic" w:hAnsi="Century Gothic"/>
          <w:color w:val="595959" w:themeColor="text1" w:themeTint="A6"/>
          <w:sz w:val="24"/>
        </w:rPr>
        <w:t>Volumen y frecuencia de información</w:t>
      </w:r>
    </w:p>
    <w:p w14:paraId="4C9C0792" w14:textId="77777777" w:rsidR="00251ECD" w:rsidRDefault="00251ECD" w:rsidP="00492810">
      <w:pPr>
        <w:pStyle w:val="Descripcin"/>
        <w:spacing w:after="0" w:line="276" w:lineRule="auto"/>
        <w:jc w:val="center"/>
        <w:rPr>
          <w:rFonts w:ascii="Century Gothic" w:hAnsi="Century Gothic"/>
          <w:color w:val="595959" w:themeColor="text1" w:themeTint="A6"/>
          <w:sz w:val="24"/>
        </w:rPr>
      </w:pPr>
      <w:bookmarkStart w:id="223" w:name="_Toc25932417"/>
    </w:p>
    <w:p w14:paraId="18DB5145"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30C986C1"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3E4366EA"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3ACFFFD1"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5895C27A"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04529C17" w14:textId="77777777" w:rsidR="00251ECD" w:rsidRDefault="00251ECD" w:rsidP="00492810">
      <w:pPr>
        <w:pStyle w:val="Descripcin"/>
        <w:spacing w:after="0" w:line="276" w:lineRule="auto"/>
        <w:jc w:val="center"/>
        <w:rPr>
          <w:rFonts w:ascii="Century Gothic" w:hAnsi="Century Gothic"/>
          <w:color w:val="595959" w:themeColor="text1" w:themeTint="A6"/>
          <w:sz w:val="24"/>
        </w:rPr>
      </w:pPr>
    </w:p>
    <w:p w14:paraId="108AFAA5" w14:textId="7D3428A2" w:rsidR="00492810" w:rsidRPr="00443329" w:rsidRDefault="00492810" w:rsidP="00492810">
      <w:pPr>
        <w:pStyle w:val="Descripcin"/>
        <w:spacing w:after="0" w:line="276" w:lineRule="auto"/>
        <w:jc w:val="center"/>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Ilustración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Ilustración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2</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Estructura de captación del DIEE</w:t>
      </w:r>
      <w:bookmarkEnd w:id="223"/>
    </w:p>
    <w:p w14:paraId="3EBE3527" w14:textId="77777777" w:rsidR="00492810" w:rsidRPr="00443329" w:rsidRDefault="00492810" w:rsidP="00492810">
      <w:pPr>
        <w:pStyle w:val="Sinespaciado"/>
        <w:jc w:val="center"/>
        <w:rPr>
          <w:rFonts w:ascii="Century Gothic" w:hAnsi="Century Gothic"/>
          <w:color w:val="595959" w:themeColor="text1" w:themeTint="A6"/>
          <w:sz w:val="24"/>
        </w:rPr>
      </w:pPr>
      <w:r w:rsidRPr="00443329">
        <w:rPr>
          <w:rFonts w:ascii="Century Gothic" w:hAnsi="Century Gothic"/>
          <w:noProof/>
          <w:sz w:val="24"/>
          <w:lang w:eastAsia="es-EC"/>
        </w:rPr>
        <w:drawing>
          <wp:inline distT="0" distB="0" distL="0" distR="0" wp14:anchorId="23AB59FF" wp14:editId="50F9219A">
            <wp:extent cx="3119533" cy="1594883"/>
            <wp:effectExtent l="0" t="0" r="508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4200" cy="1597269"/>
                    </a:xfrm>
                    <a:prstGeom prst="rect">
                      <a:avLst/>
                    </a:prstGeom>
                    <a:noFill/>
                    <a:ln>
                      <a:noFill/>
                    </a:ln>
                  </pic:spPr>
                </pic:pic>
              </a:graphicData>
            </a:graphic>
          </wp:inline>
        </w:drawing>
      </w:r>
    </w:p>
    <w:p w14:paraId="7DF9420C" w14:textId="37478B4A" w:rsidR="000E2513" w:rsidRDefault="007A0B48" w:rsidP="007A0B48">
      <w:pPr>
        <w:autoSpaceDE w:val="0"/>
        <w:autoSpaceDN w:val="0"/>
        <w:adjustRightInd w:val="0"/>
        <w:rPr>
          <w:rFonts w:ascii="Century Gothic" w:hAnsi="Century Gothic"/>
          <w:color w:val="595959" w:themeColor="text1" w:themeTint="A6"/>
          <w:sz w:val="16"/>
          <w:szCs w:val="16"/>
        </w:rPr>
      </w:pPr>
      <w:r>
        <w:rPr>
          <w:rFonts w:ascii="Century Gothic" w:hAnsi="Century Gothic"/>
          <w:b/>
          <w:color w:val="595959" w:themeColor="text1" w:themeTint="A6"/>
          <w:sz w:val="16"/>
          <w:szCs w:val="16"/>
        </w:rPr>
        <w:t xml:space="preserve">                                    </w:t>
      </w:r>
      <w:r w:rsidR="000E2513" w:rsidRPr="00443329">
        <w:rPr>
          <w:rFonts w:ascii="Century Gothic" w:hAnsi="Century Gothic"/>
          <w:b/>
          <w:color w:val="595959" w:themeColor="text1" w:themeTint="A6"/>
          <w:sz w:val="16"/>
          <w:szCs w:val="16"/>
        </w:rPr>
        <w:t xml:space="preserve">Elaborado por: </w:t>
      </w:r>
      <w:r w:rsidR="000E2513" w:rsidRPr="00443329">
        <w:rPr>
          <w:rFonts w:ascii="Century Gothic" w:hAnsi="Century Gothic"/>
          <w:color w:val="595959" w:themeColor="text1" w:themeTint="A6"/>
          <w:sz w:val="16"/>
          <w:szCs w:val="16"/>
        </w:rPr>
        <w:t>Directorio de Empresas y Establecimientos</w:t>
      </w:r>
    </w:p>
    <w:p w14:paraId="2209EF43" w14:textId="77777777" w:rsidR="00F67524" w:rsidRPr="00443329" w:rsidRDefault="00F67524" w:rsidP="00443329">
      <w:pPr>
        <w:pStyle w:val="Sinespaciado"/>
        <w:spacing w:line="276" w:lineRule="auto"/>
        <w:jc w:val="both"/>
        <w:rPr>
          <w:rFonts w:ascii="Century Gothic" w:hAnsi="Century Gothic"/>
          <w:color w:val="595959" w:themeColor="text1" w:themeTint="A6"/>
          <w:sz w:val="24"/>
        </w:rPr>
      </w:pPr>
    </w:p>
    <w:p w14:paraId="722CABDD" w14:textId="77777777" w:rsidR="00492810" w:rsidRPr="00443329" w:rsidRDefault="00492810" w:rsidP="00F67524">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Los medios de transmisión dependen de la fuente que provea la información, de esta manera:</w:t>
      </w:r>
    </w:p>
    <w:p w14:paraId="36CA24E9"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p>
    <w:p w14:paraId="03F6E094" w14:textId="77777777" w:rsidR="00492810" w:rsidRPr="00443329" w:rsidRDefault="00492810" w:rsidP="003C20C6">
      <w:pPr>
        <w:pStyle w:val="Sinespaciado"/>
        <w:numPr>
          <w:ilvl w:val="0"/>
          <w:numId w:val="22"/>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Servicio de Rentas Internas (SRI), transmite la información usando una de las herramientas que presenta el GB Oracle: réplicas con vistas materializadas.</w:t>
      </w:r>
    </w:p>
    <w:p w14:paraId="311250C1" w14:textId="77777777" w:rsidR="00492810" w:rsidRPr="00443329" w:rsidRDefault="00492810" w:rsidP="003C20C6">
      <w:pPr>
        <w:pStyle w:val="Sinespaciado"/>
        <w:numPr>
          <w:ilvl w:val="0"/>
          <w:numId w:val="22"/>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Instituto Ecuatoriano de Seguridad Social (IESS), transmite la información a través del Protocolo de Transferencia de Archivos (FTP) y usando el canal de transferencia de información.</w:t>
      </w:r>
    </w:p>
    <w:p w14:paraId="529BA65D" w14:textId="77777777" w:rsidR="00176DC8" w:rsidRDefault="00176DC8" w:rsidP="00F67524">
      <w:pPr>
        <w:pStyle w:val="Sinespaciado"/>
        <w:spacing w:line="276" w:lineRule="auto"/>
        <w:jc w:val="both"/>
        <w:rPr>
          <w:rFonts w:ascii="Century Gothic" w:hAnsi="Century Gothic"/>
          <w:color w:val="595959" w:themeColor="text1" w:themeTint="A6"/>
          <w:sz w:val="24"/>
        </w:rPr>
      </w:pPr>
    </w:p>
    <w:p w14:paraId="65862BEB" w14:textId="77777777" w:rsidR="00492810" w:rsidRDefault="00492810" w:rsidP="00F67524">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Para</w:t>
      </w:r>
      <w:r w:rsidRPr="00443329">
        <w:rPr>
          <w:rFonts w:ascii="Century Gothic" w:hAnsi="Century Gothic"/>
          <w:color w:val="595959" w:themeColor="text1" w:themeTint="A6"/>
          <w:sz w:val="24"/>
        </w:rPr>
        <w:tab/>
        <w:t>garantizar que la transferencia de información sea confiable entre ambas instituciones se ha creado un VPN (Red privada virtual) entre las dos instituciones (ver ilustración 3). La información llega al servidor del INEC en un archivo de texto comprimido.</w:t>
      </w:r>
    </w:p>
    <w:p w14:paraId="484B3428" w14:textId="77777777" w:rsidR="00626FE1" w:rsidRDefault="00626FE1" w:rsidP="00F67524">
      <w:pPr>
        <w:pStyle w:val="Sinespaciado"/>
        <w:spacing w:line="276" w:lineRule="auto"/>
        <w:jc w:val="both"/>
        <w:rPr>
          <w:rFonts w:ascii="Century Gothic" w:hAnsi="Century Gothic"/>
          <w:color w:val="595959" w:themeColor="text1" w:themeTint="A6"/>
          <w:sz w:val="24"/>
        </w:rPr>
      </w:pPr>
    </w:p>
    <w:p w14:paraId="53FFFD09" w14:textId="175D0531" w:rsidR="00492810" w:rsidRPr="00443329" w:rsidRDefault="00492810" w:rsidP="00492810">
      <w:pPr>
        <w:pStyle w:val="Descripcin"/>
        <w:spacing w:after="0" w:line="276" w:lineRule="auto"/>
        <w:jc w:val="center"/>
        <w:rPr>
          <w:rFonts w:ascii="Century Gothic" w:hAnsi="Century Gothic"/>
          <w:color w:val="595959" w:themeColor="text1" w:themeTint="A6"/>
          <w:sz w:val="24"/>
        </w:rPr>
      </w:pPr>
      <w:bookmarkStart w:id="224" w:name="_Toc25932418"/>
      <w:r w:rsidRPr="00443329">
        <w:rPr>
          <w:rFonts w:ascii="Century Gothic" w:hAnsi="Century Gothic"/>
          <w:color w:val="595959" w:themeColor="text1" w:themeTint="A6"/>
          <w:sz w:val="24"/>
        </w:rPr>
        <w:t xml:space="preserve">Ilustración </w:t>
      </w:r>
      <w:r w:rsidRPr="00443329">
        <w:rPr>
          <w:rFonts w:ascii="Century Gothic" w:hAnsi="Century Gothic"/>
          <w:color w:val="595959" w:themeColor="text1" w:themeTint="A6"/>
          <w:sz w:val="24"/>
        </w:rPr>
        <w:fldChar w:fldCharType="begin"/>
      </w:r>
      <w:r w:rsidRPr="00443329">
        <w:rPr>
          <w:rFonts w:ascii="Century Gothic" w:hAnsi="Century Gothic"/>
          <w:color w:val="595959" w:themeColor="text1" w:themeTint="A6"/>
          <w:sz w:val="24"/>
        </w:rPr>
        <w:instrText xml:space="preserve"> SEQ Ilustración \* ARABIC </w:instrText>
      </w:r>
      <w:r w:rsidRPr="00443329">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3</w:t>
      </w:r>
      <w:r w:rsidRPr="00443329">
        <w:rPr>
          <w:rFonts w:ascii="Century Gothic" w:hAnsi="Century Gothic"/>
          <w:color w:val="595959" w:themeColor="text1" w:themeTint="A6"/>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Red virtual privada</w:t>
      </w:r>
      <w:bookmarkEnd w:id="224"/>
    </w:p>
    <w:p w14:paraId="41415C72" w14:textId="77777777" w:rsidR="00492810" w:rsidRDefault="00492810" w:rsidP="00492810">
      <w:pPr>
        <w:pStyle w:val="Sinespaciado"/>
        <w:jc w:val="center"/>
        <w:rPr>
          <w:rFonts w:ascii="Century Gothic" w:hAnsi="Century Gothic"/>
          <w:color w:val="595959" w:themeColor="text1" w:themeTint="A6"/>
          <w:sz w:val="24"/>
        </w:rPr>
      </w:pPr>
      <w:r w:rsidRPr="00443329">
        <w:rPr>
          <w:rFonts w:ascii="Century Gothic" w:hAnsi="Century Gothic"/>
          <w:noProof/>
          <w:color w:val="000000"/>
          <w:sz w:val="24"/>
          <w:lang w:eastAsia="es-EC"/>
        </w:rPr>
        <w:drawing>
          <wp:inline distT="0" distB="0" distL="0" distR="0" wp14:anchorId="79A0329F" wp14:editId="1928F069">
            <wp:extent cx="3264193" cy="1509823"/>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65170" cy="1510275"/>
                    </a:xfrm>
                    <a:prstGeom prst="rect">
                      <a:avLst/>
                    </a:prstGeom>
                    <a:noFill/>
                    <a:ln w="9525">
                      <a:noFill/>
                      <a:miter lim="800000"/>
                      <a:headEnd/>
                      <a:tailEnd/>
                    </a:ln>
                  </pic:spPr>
                </pic:pic>
              </a:graphicData>
            </a:graphic>
          </wp:inline>
        </w:drawing>
      </w:r>
    </w:p>
    <w:p w14:paraId="74AF9A5B" w14:textId="0EE8806B" w:rsidR="000E2513" w:rsidRDefault="00C2259A" w:rsidP="000D4214">
      <w:pPr>
        <w:pStyle w:val="Sinespaciado"/>
        <w:rPr>
          <w:rFonts w:ascii="Century Gothic" w:hAnsi="Century Gothic"/>
          <w:color w:val="595959" w:themeColor="text1" w:themeTint="A6"/>
          <w:sz w:val="16"/>
          <w:szCs w:val="16"/>
        </w:rPr>
      </w:pPr>
      <w:r>
        <w:rPr>
          <w:rFonts w:ascii="Century Gothic" w:hAnsi="Century Gothic"/>
          <w:b/>
          <w:color w:val="595959" w:themeColor="text1" w:themeTint="A6"/>
          <w:sz w:val="16"/>
          <w:szCs w:val="16"/>
        </w:rPr>
        <w:t xml:space="preserve">                                      </w:t>
      </w:r>
      <w:r w:rsidRPr="00443329">
        <w:rPr>
          <w:rFonts w:ascii="Century Gothic" w:hAnsi="Century Gothic"/>
          <w:b/>
          <w:color w:val="595959" w:themeColor="text1" w:themeTint="A6"/>
          <w:sz w:val="16"/>
          <w:szCs w:val="16"/>
        </w:rPr>
        <w:t xml:space="preserve">Elaborado por: </w:t>
      </w:r>
      <w:r w:rsidRPr="00443329">
        <w:rPr>
          <w:rFonts w:ascii="Century Gothic" w:hAnsi="Century Gothic"/>
          <w:color w:val="595959" w:themeColor="text1" w:themeTint="A6"/>
          <w:sz w:val="16"/>
          <w:szCs w:val="16"/>
        </w:rPr>
        <w:t>Directorio de Empresas y Establecimientos</w:t>
      </w:r>
    </w:p>
    <w:p w14:paraId="6975DF5B" w14:textId="77777777" w:rsidR="00C2259A" w:rsidRPr="00443329" w:rsidRDefault="00C2259A" w:rsidP="000D4214">
      <w:pPr>
        <w:pStyle w:val="Sinespaciado"/>
        <w:rPr>
          <w:rFonts w:ascii="Century Gothic" w:hAnsi="Century Gothic"/>
          <w:color w:val="595959" w:themeColor="text1" w:themeTint="A6"/>
          <w:sz w:val="24"/>
        </w:rPr>
      </w:pPr>
    </w:p>
    <w:p w14:paraId="3E8CBEE5" w14:textId="25035F0A" w:rsidR="00492810" w:rsidRPr="00443329" w:rsidRDefault="00492810" w:rsidP="00443329">
      <w:pPr>
        <w:pStyle w:val="TITULOINEC"/>
        <w:numPr>
          <w:ilvl w:val="0"/>
          <w:numId w:val="33"/>
        </w:numPr>
        <w:jc w:val="left"/>
      </w:pPr>
      <w:bookmarkStart w:id="225" w:name="_Toc53757443"/>
      <w:r w:rsidRPr="00443329">
        <w:t>P</w:t>
      </w:r>
      <w:r w:rsidRPr="004E3F87">
        <w:t>ROCESAMIENTO</w:t>
      </w:r>
      <w:bookmarkEnd w:id="225"/>
    </w:p>
    <w:p w14:paraId="38841E26" w14:textId="77777777" w:rsidR="00492810" w:rsidRPr="00443329" w:rsidRDefault="00492810" w:rsidP="00492810">
      <w:pPr>
        <w:pStyle w:val="Sinespaciado"/>
        <w:rPr>
          <w:rFonts w:ascii="Century Gothic" w:hAnsi="Century Gothic"/>
          <w:sz w:val="24"/>
        </w:rPr>
      </w:pPr>
    </w:p>
    <w:p w14:paraId="3F85722B" w14:textId="7B91C7A2" w:rsidR="00492810" w:rsidRDefault="00492810" w:rsidP="00443329">
      <w:pPr>
        <w:jc w:val="both"/>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 xml:space="preserve">En esta sección se da a conocer </w:t>
      </w:r>
      <w:r w:rsidR="00B10D09" w:rsidRPr="00527E0F">
        <w:rPr>
          <w:rFonts w:ascii="Century Gothic" w:hAnsi="Century Gothic"/>
          <w:color w:val="595959" w:themeColor="text1" w:themeTint="A6"/>
          <w:lang w:eastAsia="es-EC"/>
        </w:rPr>
        <w:t>cómo</w:t>
      </w:r>
      <w:r w:rsidRPr="00527E0F">
        <w:rPr>
          <w:rFonts w:ascii="Century Gothic" w:hAnsi="Century Gothic"/>
          <w:color w:val="595959" w:themeColor="text1" w:themeTint="A6"/>
          <w:lang w:eastAsia="es-EC"/>
        </w:rPr>
        <w:t xml:space="preserve"> se ejecuta el procesamiento en base a los parámetros establecidos en el apartado de diseño y construcción. Se contempla como aspectos relevantes de este proceso:</w:t>
      </w:r>
    </w:p>
    <w:p w14:paraId="7D79B7B4" w14:textId="77777777" w:rsidR="00736A29" w:rsidRPr="00527E0F" w:rsidRDefault="00736A29" w:rsidP="00736A29">
      <w:pPr>
        <w:jc w:val="both"/>
        <w:rPr>
          <w:rFonts w:ascii="Century Gothic" w:hAnsi="Century Gothic"/>
          <w:color w:val="595959" w:themeColor="text1" w:themeTint="A6"/>
          <w:lang w:eastAsia="es-EC"/>
        </w:rPr>
      </w:pPr>
    </w:p>
    <w:p w14:paraId="41897DA9" w14:textId="77777777" w:rsidR="00492810" w:rsidRPr="00443329" w:rsidRDefault="00492810" w:rsidP="003C20C6">
      <w:pPr>
        <w:pStyle w:val="Prrafodelista"/>
        <w:numPr>
          <w:ilvl w:val="0"/>
          <w:numId w:val="19"/>
        </w:numPr>
        <w:rPr>
          <w:rFonts w:ascii="Century Gothic" w:hAnsi="Century Gothic"/>
          <w:color w:val="595959" w:themeColor="text1" w:themeTint="A6"/>
          <w:sz w:val="24"/>
        </w:rPr>
      </w:pPr>
      <w:r w:rsidRPr="00443329">
        <w:rPr>
          <w:rFonts w:ascii="Century Gothic" w:hAnsi="Century Gothic"/>
          <w:color w:val="595959" w:themeColor="text1" w:themeTint="A6"/>
          <w:sz w:val="24"/>
        </w:rPr>
        <w:t>Crítica e integración de la base de datos</w:t>
      </w:r>
    </w:p>
    <w:p w14:paraId="52A68D3E" w14:textId="77777777" w:rsidR="00492810" w:rsidRPr="00443329" w:rsidRDefault="00492810" w:rsidP="003C20C6">
      <w:pPr>
        <w:pStyle w:val="Prrafodelista"/>
        <w:numPr>
          <w:ilvl w:val="0"/>
          <w:numId w:val="19"/>
        </w:numPr>
        <w:rPr>
          <w:rFonts w:ascii="Century Gothic" w:hAnsi="Century Gothic"/>
          <w:color w:val="595959" w:themeColor="text1" w:themeTint="A6"/>
          <w:sz w:val="24"/>
        </w:rPr>
      </w:pPr>
      <w:r w:rsidRPr="00443329">
        <w:rPr>
          <w:rFonts w:ascii="Century Gothic" w:hAnsi="Century Gothic"/>
          <w:color w:val="595959" w:themeColor="text1" w:themeTint="A6"/>
          <w:sz w:val="24"/>
        </w:rPr>
        <w:t>Clasificación y codificación</w:t>
      </w:r>
    </w:p>
    <w:p w14:paraId="5A855CFD" w14:textId="77777777" w:rsidR="00492810" w:rsidRPr="00443329" w:rsidRDefault="00492810" w:rsidP="003C20C6">
      <w:pPr>
        <w:pStyle w:val="Prrafodelista"/>
        <w:numPr>
          <w:ilvl w:val="0"/>
          <w:numId w:val="19"/>
        </w:numPr>
        <w:rPr>
          <w:rFonts w:ascii="Century Gothic" w:hAnsi="Century Gothic"/>
          <w:color w:val="595959" w:themeColor="text1" w:themeTint="A6"/>
          <w:sz w:val="24"/>
        </w:rPr>
      </w:pPr>
      <w:r w:rsidRPr="00443329">
        <w:rPr>
          <w:rFonts w:ascii="Century Gothic" w:hAnsi="Century Gothic"/>
          <w:color w:val="595959" w:themeColor="text1" w:themeTint="A6"/>
          <w:sz w:val="24"/>
        </w:rPr>
        <w:t>Validación e imputación</w:t>
      </w:r>
    </w:p>
    <w:p w14:paraId="307B7271" w14:textId="0D61CAA4" w:rsidR="00492810" w:rsidRPr="00176DC8" w:rsidRDefault="00492810" w:rsidP="00443329">
      <w:pPr>
        <w:pStyle w:val="SUBTITULOINEC"/>
        <w:numPr>
          <w:ilvl w:val="1"/>
          <w:numId w:val="33"/>
        </w:numPr>
        <w:jc w:val="left"/>
        <w:rPr>
          <w:sz w:val="32"/>
          <w:szCs w:val="32"/>
        </w:rPr>
      </w:pPr>
      <w:bookmarkStart w:id="226" w:name="_Toc53757444"/>
      <w:r w:rsidRPr="00176DC8">
        <w:rPr>
          <w:sz w:val="32"/>
          <w:szCs w:val="32"/>
        </w:rPr>
        <w:t>Crítica e integración de la base de datos</w:t>
      </w:r>
      <w:bookmarkEnd w:id="226"/>
    </w:p>
    <w:p w14:paraId="0AE22568" w14:textId="77777777" w:rsidR="00492810" w:rsidRPr="00443329" w:rsidRDefault="00492810" w:rsidP="00736A29">
      <w:pPr>
        <w:pStyle w:val="Sinespaciado"/>
        <w:spacing w:before="240"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 herramienta Pentaho juega uno de los roles más importantes en esta fase debido a que se trabaja con procesos ETL’s.</w:t>
      </w:r>
    </w:p>
    <w:p w14:paraId="20C1BDC8"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p>
    <w:p w14:paraId="439A6192"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El procesamiento mediante la ejecución de ETL’s sigue los siguientes pasos:</w:t>
      </w:r>
    </w:p>
    <w:p w14:paraId="149DF58F" w14:textId="77777777" w:rsidR="00492810" w:rsidRPr="00443329" w:rsidRDefault="00492810" w:rsidP="00443329">
      <w:pPr>
        <w:pStyle w:val="Sinespaciado"/>
        <w:spacing w:line="276" w:lineRule="auto"/>
        <w:jc w:val="both"/>
        <w:rPr>
          <w:rFonts w:ascii="Century Gothic" w:hAnsi="Century Gothic"/>
          <w:color w:val="595959" w:themeColor="text1" w:themeTint="A6"/>
          <w:sz w:val="24"/>
        </w:rPr>
      </w:pPr>
    </w:p>
    <w:p w14:paraId="0AE2286C"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Previo a la ejecución de los ETL’s, para extraer información válida y de mejor calidad, se realiza el proceso de Limpieza y Depuración de datos. En este proceso se descartan los registros que no se acogen a las reglas de validación que deben cumplir las variables, por ejemplo: los teléfonos para ser tomados en cuenta deben poseer nueve dígitos, si poseen menos de nueve dígitos se descartarán de la base de datos. </w:t>
      </w:r>
    </w:p>
    <w:p w14:paraId="213576ED"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Creación de un repositorio alterno llamado “PASO” que contiene las tablas principales del DIEE como son: la de empresa, unidad local y unidad legal. Su objetivo es actuar como puente de la información antes de llegar a la base final, debido a que existen procesos que no se pueden ejecutar directamente en ésta.</w:t>
      </w:r>
    </w:p>
    <w:p w14:paraId="1B2024B6"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Inicialización de las tablas de “PASO” para cargar la información de la etapa de procesamiento que tiene cambios con respecto al DIEE del año anterior y la nueva información que será agregada a la base final. Adicionalmente se realizan validaciones y se establecen valores por defecto; para mayor detalle revisar el anexo 6.</w:t>
      </w:r>
    </w:p>
    <w:p w14:paraId="3B2D1FF3"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Se identifican las empresas y establecimientos nuevos y antiguos, para analizarlos y procesarlos por separado.</w:t>
      </w:r>
    </w:p>
    <w:p w14:paraId="4D2F9235" w14:textId="16D752D2"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A las empresas y establecimientos antiguos, es decir, que ya fueron incorporados al directorio en años anteriores, se identifican las variables que han cambiado y necesitan ser actualizadas (</w:t>
      </w:r>
      <w:r w:rsidR="00EE7033" w:rsidRPr="00443329">
        <w:rPr>
          <w:rFonts w:ascii="Century Gothic" w:hAnsi="Century Gothic"/>
          <w:color w:val="595959" w:themeColor="text1" w:themeTint="A6"/>
          <w:sz w:val="24"/>
        </w:rPr>
        <w:t>de acuerdo con</w:t>
      </w:r>
      <w:r w:rsidRPr="00443329">
        <w:rPr>
          <w:rFonts w:ascii="Century Gothic" w:hAnsi="Century Gothic"/>
          <w:color w:val="595959" w:themeColor="text1" w:themeTint="A6"/>
          <w:sz w:val="24"/>
        </w:rPr>
        <w:t xml:space="preserve"> la matriz de prioridades). Paralelamente se actualizan las respectivas variables de control.</w:t>
      </w:r>
    </w:p>
    <w:p w14:paraId="3508C86E"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Las empresas y establecimientos nuevos son insertados en “PASO” con un identificador interno único, para dar seguimiento tanto a empresas como establecimientos sin necesidad de utilizar el número de RUC. De igual manera se actualizan sus respectivas variables de control.</w:t>
      </w:r>
    </w:p>
    <w:p w14:paraId="2CFE0140" w14:textId="0D522084"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Cuando se tiene lista la información en el repositorio “PASO” se procede a actualizar las variables que cambiaron de las empresas y establecimientos antiguos y de los nuevos se insertan en la base del DIEE (</w:t>
      </w:r>
      <w:r w:rsidR="00EE7033" w:rsidRPr="00443329">
        <w:rPr>
          <w:rFonts w:ascii="Century Gothic" w:hAnsi="Century Gothic"/>
          <w:color w:val="595959" w:themeColor="text1" w:themeTint="A6"/>
          <w:sz w:val="24"/>
        </w:rPr>
        <w:t>de acuerdo con</w:t>
      </w:r>
      <w:r w:rsidRPr="00443329">
        <w:rPr>
          <w:rFonts w:ascii="Century Gothic" w:hAnsi="Century Gothic"/>
          <w:color w:val="595959" w:themeColor="text1" w:themeTint="A6"/>
          <w:sz w:val="24"/>
        </w:rPr>
        <w:t xml:space="preserve"> la matriz de prioridades y sus diversas fuentes de información).</w:t>
      </w:r>
    </w:p>
    <w:p w14:paraId="2782AD33"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Para verificar y validar la información que se ha obtenido a partir del procesamiento se procede a realizar conteos para verificar que la información sea consistente en términos globales, si existen errores se procede a reprocesar la base hasta que todos los errores sean corregidos por completo.</w:t>
      </w:r>
    </w:p>
    <w:p w14:paraId="5B3B32CD" w14:textId="77777777" w:rsidR="00492810" w:rsidRPr="00443329" w:rsidRDefault="00492810" w:rsidP="003C20C6">
      <w:pPr>
        <w:pStyle w:val="Sinespaciado"/>
        <w:numPr>
          <w:ilvl w:val="0"/>
          <w:numId w:val="20"/>
        </w:numPr>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Una vez que la base de datos adquiere un nivel de consistencia agregada, la información es convertida a una base de datos en formato estadístico de los paquetes SPSS y/o STATA para ser validada y analizada. </w:t>
      </w:r>
    </w:p>
    <w:p w14:paraId="0918C1EF" w14:textId="77777777" w:rsidR="00492810" w:rsidRPr="00443329" w:rsidRDefault="00492810" w:rsidP="00736A29">
      <w:pPr>
        <w:pStyle w:val="Sinespaciado"/>
        <w:spacing w:line="276" w:lineRule="auto"/>
        <w:jc w:val="both"/>
        <w:rPr>
          <w:rFonts w:ascii="Century Gothic" w:hAnsi="Century Gothic"/>
          <w:color w:val="595959" w:themeColor="text1" w:themeTint="A6"/>
          <w:sz w:val="24"/>
        </w:rPr>
      </w:pPr>
    </w:p>
    <w:p w14:paraId="15D4B10A" w14:textId="61DC4291" w:rsidR="00492810" w:rsidRDefault="00492810" w:rsidP="00736A29">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Este proceso se aplica sistemáticamente sobre las variables del directorio que sirven para la publicación. En este proceso también se generan las variables derivadas mencionadas en el apartado dos.</w:t>
      </w:r>
    </w:p>
    <w:p w14:paraId="2EB77E64" w14:textId="77777777" w:rsidR="00970248" w:rsidRDefault="00970248" w:rsidP="00736A29">
      <w:pPr>
        <w:pStyle w:val="Sinespaciado"/>
        <w:spacing w:line="276" w:lineRule="auto"/>
        <w:jc w:val="both"/>
        <w:rPr>
          <w:rFonts w:ascii="Century Gothic" w:hAnsi="Century Gothic"/>
          <w:color w:val="595959" w:themeColor="text1" w:themeTint="A6"/>
          <w:sz w:val="24"/>
        </w:rPr>
      </w:pPr>
    </w:p>
    <w:p w14:paraId="4412E85F" w14:textId="6D408AE6" w:rsidR="00492810" w:rsidRPr="00176DC8" w:rsidRDefault="00492810" w:rsidP="00443329">
      <w:pPr>
        <w:pStyle w:val="SUBTITULOINEC"/>
        <w:numPr>
          <w:ilvl w:val="1"/>
          <w:numId w:val="33"/>
        </w:numPr>
        <w:jc w:val="left"/>
        <w:rPr>
          <w:sz w:val="32"/>
          <w:szCs w:val="32"/>
        </w:rPr>
      </w:pPr>
      <w:bookmarkStart w:id="227" w:name="_Toc53757445"/>
      <w:r w:rsidRPr="00176DC8">
        <w:rPr>
          <w:sz w:val="32"/>
          <w:szCs w:val="32"/>
        </w:rPr>
        <w:t>Clasificaciones y/o codificaciones</w:t>
      </w:r>
      <w:bookmarkEnd w:id="227"/>
    </w:p>
    <w:p w14:paraId="246954B0" w14:textId="77777777" w:rsidR="00736A29" w:rsidRDefault="00736A29" w:rsidP="00443329">
      <w:pPr>
        <w:jc w:val="both"/>
        <w:rPr>
          <w:rFonts w:ascii="Century Gothic" w:hAnsi="Century Gothic" w:cs="Arial"/>
          <w:color w:val="595959" w:themeColor="text1" w:themeTint="A6"/>
          <w:lang w:eastAsia="es-EC"/>
        </w:rPr>
      </w:pPr>
    </w:p>
    <w:p w14:paraId="77E2A50C" w14:textId="79A1B0F1" w:rsidR="00492810" w:rsidRPr="00527E0F" w:rsidRDefault="00492810" w:rsidP="004433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En el Directorio de Empresas y Establecimientos se utiliza como clasificadores principales la División Política Admi</w:t>
      </w:r>
      <w:r w:rsidR="00C96CE4">
        <w:rPr>
          <w:rFonts w:ascii="Century Gothic" w:hAnsi="Century Gothic" w:cs="Arial"/>
          <w:color w:val="595959" w:themeColor="text1" w:themeTint="A6"/>
          <w:lang w:eastAsia="es-EC"/>
        </w:rPr>
        <w:t>nistrativa hasta el 202</w:t>
      </w:r>
      <w:r w:rsidR="00EE7033">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 xml:space="preserve"> y la Clasificación Internacional Industrial Uniforme (CIIU revisión 4.0). </w:t>
      </w:r>
    </w:p>
    <w:p w14:paraId="4CE2B7A4" w14:textId="77777777" w:rsidR="00492810" w:rsidRPr="00527E0F" w:rsidRDefault="00492810" w:rsidP="00443329">
      <w:pPr>
        <w:jc w:val="both"/>
        <w:rPr>
          <w:rFonts w:ascii="Century Gothic" w:hAnsi="Century Gothic" w:cs="Arial"/>
          <w:color w:val="595959" w:themeColor="text1" w:themeTint="A6"/>
          <w:lang w:eastAsia="es-EC"/>
        </w:rPr>
      </w:pPr>
    </w:p>
    <w:p w14:paraId="30ABF934" w14:textId="4B71772F" w:rsidR="00492810" w:rsidRDefault="00492810" w:rsidP="004433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Debido a que se ha identificado códigos de actividad económica creados por el SRI, los cuales no se encuentran dentro del catálogo de actividades que contempla la CIIU revisión 4.0, se utilizan matrices de conversión de actividad económica creadas en el INEC a fin de tener una sola codificación basada en la CIIU rev. 4.</w:t>
      </w:r>
    </w:p>
    <w:p w14:paraId="5AF613D9" w14:textId="77777777" w:rsidR="001056B6" w:rsidRDefault="001056B6" w:rsidP="00443329">
      <w:pPr>
        <w:jc w:val="both"/>
        <w:rPr>
          <w:rFonts w:ascii="Century Gothic" w:hAnsi="Century Gothic" w:cs="Arial"/>
          <w:color w:val="595959" w:themeColor="text1" w:themeTint="A6"/>
          <w:lang w:eastAsia="es-EC"/>
        </w:rPr>
      </w:pPr>
    </w:p>
    <w:p w14:paraId="73D6AF64" w14:textId="5F4A4327" w:rsidR="00492810" w:rsidRDefault="00492810" w:rsidP="00443329">
      <w:pPr>
        <w:pStyle w:val="SUBTITULOINEC"/>
        <w:numPr>
          <w:ilvl w:val="1"/>
          <w:numId w:val="33"/>
        </w:numPr>
        <w:jc w:val="both"/>
        <w:rPr>
          <w:sz w:val="32"/>
          <w:szCs w:val="32"/>
        </w:rPr>
      </w:pPr>
      <w:bookmarkStart w:id="228" w:name="_Toc53757446"/>
      <w:r w:rsidRPr="00176DC8">
        <w:rPr>
          <w:sz w:val="32"/>
          <w:szCs w:val="32"/>
        </w:rPr>
        <w:t>Validación</w:t>
      </w:r>
      <w:bookmarkEnd w:id="228"/>
      <w:r w:rsidR="009E6870">
        <w:rPr>
          <w:sz w:val="32"/>
          <w:szCs w:val="32"/>
        </w:rPr>
        <w:t xml:space="preserve"> e imputación</w:t>
      </w:r>
    </w:p>
    <w:p w14:paraId="527EF54C" w14:textId="77777777" w:rsidR="009E6870" w:rsidRDefault="009E6870" w:rsidP="009E6870">
      <w:pPr>
        <w:ind w:left="360"/>
        <w:rPr>
          <w:rFonts w:ascii="Century Gothic" w:hAnsi="Century Gothic"/>
          <w:b/>
          <w:bCs/>
          <w:color w:val="505685"/>
          <w14:textFill>
            <w14:solidFill>
              <w14:srgbClr w14:val="505685">
                <w14:lumMod w14:val="65000"/>
                <w14:lumOff w14:val="35000"/>
              </w14:srgbClr>
            </w14:solidFill>
          </w14:textFill>
        </w:rPr>
      </w:pPr>
    </w:p>
    <w:p w14:paraId="3EFF1AB1" w14:textId="77777777" w:rsidR="009E6870" w:rsidRPr="009E6870" w:rsidRDefault="009E6870" w:rsidP="009E6870">
      <w:pPr>
        <w:rPr>
          <w:rFonts w:ascii="Century Gothic" w:hAnsi="Century Gothic"/>
          <w:b/>
          <w:bCs/>
          <w:color w:val="505685"/>
          <w14:textFill>
            <w14:solidFill>
              <w14:srgbClr w14:val="505685">
                <w14:lumMod w14:val="65000"/>
                <w14:lumOff w14:val="35000"/>
              </w14:srgbClr>
            </w14:solidFill>
          </w14:textFill>
        </w:rPr>
      </w:pPr>
      <w:r w:rsidRPr="009E6870">
        <w:rPr>
          <w:rFonts w:ascii="Century Gothic" w:hAnsi="Century Gothic"/>
          <w:b/>
          <w:bCs/>
          <w:color w:val="505685"/>
          <w14:textFill>
            <w14:solidFill>
              <w14:srgbClr w14:val="505685">
                <w14:lumMod w14:val="65000"/>
                <w14:lumOff w14:val="35000"/>
              </w14:srgbClr>
            </w14:solidFill>
          </w14:textFill>
        </w:rPr>
        <w:t>Validación</w:t>
      </w:r>
    </w:p>
    <w:p w14:paraId="28653F1C" w14:textId="77777777" w:rsidR="00492810" w:rsidRDefault="00492810" w:rsidP="004433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La validación consiste en verificar los registros por variables para identificar completitud; de igual manera se verifica que las actualizaciones solicitadas, producto de las verificaciones realizadas sea por analistas, Call Center u otro medio de validación hayan sido incorporadas a la base de datos.</w:t>
      </w:r>
    </w:p>
    <w:p w14:paraId="721286D8" w14:textId="77777777" w:rsidR="00932569" w:rsidRDefault="00932569" w:rsidP="00443329">
      <w:pPr>
        <w:jc w:val="both"/>
        <w:rPr>
          <w:rFonts w:ascii="Century Gothic" w:hAnsi="Century Gothic" w:cs="Arial"/>
          <w:color w:val="595959" w:themeColor="text1" w:themeTint="A6"/>
          <w:lang w:eastAsia="es-EC"/>
        </w:rPr>
      </w:pPr>
    </w:p>
    <w:p w14:paraId="4F32CD4B" w14:textId="77777777" w:rsidR="00492810" w:rsidRDefault="00492810" w:rsidP="004433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Para verificar la coherencia entre los registros se identifican correlaciones entre variables, variaciones existentes a nivel histórico para corroborar que la información a publicar guarde relación con la realidad nacional. Por ejemplo, los valores totales de ingreso por ventas a nivel de sección deben ser consistentes en el tiempo y con la realidad económica del país.</w:t>
      </w:r>
    </w:p>
    <w:p w14:paraId="4BCBFCF0" w14:textId="77777777" w:rsidR="00932569" w:rsidRPr="00527E0F" w:rsidRDefault="00932569" w:rsidP="00443329">
      <w:pPr>
        <w:jc w:val="both"/>
        <w:rPr>
          <w:rFonts w:ascii="Century Gothic" w:hAnsi="Century Gothic" w:cs="Arial"/>
          <w:color w:val="595959" w:themeColor="text1" w:themeTint="A6"/>
          <w:lang w:eastAsia="es-EC"/>
        </w:rPr>
      </w:pPr>
    </w:p>
    <w:p w14:paraId="6AFA91F5" w14:textId="77777777" w:rsidR="00492810" w:rsidRPr="00443329" w:rsidRDefault="00492810" w:rsidP="00443329">
      <w:pPr>
        <w:jc w:val="both"/>
        <w:rPr>
          <w:rFonts w:ascii="Century Gothic" w:hAnsi="Century Gothic"/>
          <w:color w:val="595959" w:themeColor="text1" w:themeTint="A6"/>
        </w:rPr>
      </w:pPr>
      <w:r w:rsidRPr="00527E0F">
        <w:rPr>
          <w:rFonts w:ascii="Century Gothic" w:hAnsi="Century Gothic" w:cs="Arial"/>
          <w:color w:val="595959" w:themeColor="text1" w:themeTint="A6"/>
          <w:lang w:eastAsia="es-EC"/>
        </w:rPr>
        <w:t>Es decir, se analiza la información a un nivel desagregado e incluso individual con la finalidad de validar la consistencia de la información desde un punto de vista económico y estadístico</w:t>
      </w:r>
      <w:r w:rsidRPr="00527E0F">
        <w:rPr>
          <w:rStyle w:val="Refdenotaalpie"/>
          <w:rFonts w:ascii="Century Gothic" w:hAnsi="Century Gothic" w:cs="Arial"/>
          <w:color w:val="595959" w:themeColor="text1" w:themeTint="A6"/>
          <w:lang w:eastAsia="es-EC"/>
        </w:rPr>
        <w:footnoteReference w:id="21"/>
      </w:r>
      <w:r w:rsidRPr="00527E0F">
        <w:rPr>
          <w:rFonts w:ascii="Century Gothic" w:hAnsi="Century Gothic" w:cs="Arial"/>
          <w:color w:val="595959" w:themeColor="text1" w:themeTint="A6"/>
          <w:lang w:eastAsia="es-EC"/>
        </w:rPr>
        <w:t>, se corrigen errores, se generan variables derivadas y se da un formato adecuado para que la base de datos pueda ser publicada.</w:t>
      </w:r>
    </w:p>
    <w:p w14:paraId="29BE4A6F" w14:textId="77777777" w:rsidR="00736A29" w:rsidRPr="00527E0F" w:rsidRDefault="00736A29" w:rsidP="00736A29">
      <w:pPr>
        <w:jc w:val="both"/>
        <w:rPr>
          <w:rFonts w:ascii="Century Gothic" w:hAnsi="Century Gothic" w:cs="Arial"/>
          <w:lang w:val="es-ES" w:eastAsia="es-EC"/>
        </w:rPr>
      </w:pPr>
    </w:p>
    <w:p w14:paraId="53EA7C51" w14:textId="77777777" w:rsidR="009E6870" w:rsidRPr="00B10D09" w:rsidRDefault="009E6870" w:rsidP="009E6870">
      <w:pPr>
        <w:rPr>
          <w:rFonts w:ascii="Century Gothic" w:hAnsi="Century Gothic"/>
          <w:b/>
          <w:bCs/>
          <w:color w:val="505685"/>
          <w14:textFill>
            <w14:solidFill>
              <w14:srgbClr w14:val="505685">
                <w14:lumMod w14:val="65000"/>
                <w14:lumOff w14:val="35000"/>
              </w14:srgbClr>
            </w14:solidFill>
          </w14:textFill>
        </w:rPr>
      </w:pPr>
      <w:r w:rsidRPr="00B10D09">
        <w:rPr>
          <w:rFonts w:ascii="Century Gothic" w:hAnsi="Century Gothic"/>
          <w:b/>
          <w:bCs/>
          <w:color w:val="505685"/>
          <w14:textFill>
            <w14:solidFill>
              <w14:srgbClr w14:val="505685">
                <w14:lumMod w14:val="65000"/>
                <w14:lumOff w14:val="35000"/>
              </w14:srgbClr>
            </w14:solidFill>
          </w14:textFill>
        </w:rPr>
        <w:t>Imputación</w:t>
      </w:r>
    </w:p>
    <w:p w14:paraId="4A3BF0F8" w14:textId="73ACD35D" w:rsidR="00492810" w:rsidRDefault="00492810" w:rsidP="00736A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En el DIEE se imputa información de ventas en las unidades económicas para las cuales no se dispone de datos d</w:t>
      </w:r>
      <w:r w:rsidR="00ED1B54">
        <w:rPr>
          <w:rFonts w:ascii="Century Gothic" w:hAnsi="Century Gothic" w:cs="Arial"/>
          <w:color w:val="595959" w:themeColor="text1" w:themeTint="A6"/>
          <w:lang w:eastAsia="es-EC"/>
        </w:rPr>
        <w:t>eclarados en el SRI, pero que sí</w:t>
      </w:r>
      <w:r w:rsidRPr="00527E0F">
        <w:rPr>
          <w:rFonts w:ascii="Century Gothic" w:hAnsi="Century Gothic" w:cs="Arial"/>
          <w:color w:val="595959" w:themeColor="text1" w:themeTint="A6"/>
          <w:lang w:eastAsia="es-EC"/>
        </w:rPr>
        <w:t xml:space="preserve"> reportan en alguna operación estadística del INEC que recaba información de ventas (por ejemplo, la Encuesta Estructural Empresarial).</w:t>
      </w:r>
    </w:p>
    <w:p w14:paraId="41AD2ED0" w14:textId="77777777" w:rsidR="00176DC8" w:rsidRDefault="00176DC8" w:rsidP="00736A29">
      <w:pPr>
        <w:jc w:val="both"/>
        <w:rPr>
          <w:rFonts w:ascii="Century Gothic" w:hAnsi="Century Gothic" w:cs="Arial"/>
          <w:color w:val="595959" w:themeColor="text1" w:themeTint="A6"/>
          <w:lang w:eastAsia="es-EC"/>
        </w:rPr>
      </w:pPr>
    </w:p>
    <w:p w14:paraId="78983CC5" w14:textId="232CC1C1" w:rsidR="00492810" w:rsidRDefault="00492810" w:rsidP="00736A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Se generan además imputaciones de personal ocupado afiliado en términos de plazas de empleo registrado, empleo registrado y remuneraciones para las empresas de la Administración Pública, particularmente las relacionadas a las Direcciones Distritales de Educación, a partir de la información proporcionada por el Minis</w:t>
      </w:r>
      <w:r w:rsidR="00C96CE4">
        <w:rPr>
          <w:rFonts w:ascii="Century Gothic" w:hAnsi="Century Gothic" w:cs="Arial"/>
          <w:color w:val="595959" w:themeColor="text1" w:themeTint="A6"/>
          <w:lang w:eastAsia="es-EC"/>
        </w:rPr>
        <w:t>terio de Educación en el año 202</w:t>
      </w:r>
      <w:r w:rsidR="00A018AD">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w:t>
      </w:r>
    </w:p>
    <w:p w14:paraId="2EDD9865" w14:textId="77777777" w:rsidR="00B10D09" w:rsidRPr="00527E0F" w:rsidRDefault="00B10D09" w:rsidP="00B10D09">
      <w:pPr>
        <w:jc w:val="both"/>
        <w:rPr>
          <w:rFonts w:ascii="Century Gothic" w:hAnsi="Century Gothic" w:cs="Arial"/>
          <w:color w:val="595959" w:themeColor="text1" w:themeTint="A6"/>
          <w:lang w:eastAsia="es-EC"/>
        </w:rPr>
      </w:pPr>
    </w:p>
    <w:p w14:paraId="03605A3D" w14:textId="68AE45FD" w:rsidR="00492810" w:rsidRDefault="00492810" w:rsidP="00736A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La imputación consiste en determinar el número de afiliados y el valor de remuneraciones para las direcciones distritales, una vez que se ha restado el número de afiliados y remuneraciones de las instituciones educativas que pertenecen a ese distrito, para ello se considera la información proveniente desde el registro del Ministerio de Educación. Administrativamente, el personal que labora en las instituciones educativas se encuentra cargado en las planillas IESS del distrito al que pertenecen, por lo tanto, la información que proviene del IESS contemplará ese número de afiliados; de otra parte, el Ministerio de Educación también proporciona la misma información, y para evitar duplicar el empleo y remuneraciones se realiza esta imputación para las Direcciones Distritales. De este modo, se obtiene una mayor cobertura de instituciones dedicadas a la educación evitando sobreestimar el empleo y remuneraciones de este sector.</w:t>
      </w:r>
    </w:p>
    <w:p w14:paraId="14490033" w14:textId="77777777" w:rsidR="00251ECD" w:rsidRDefault="00251ECD" w:rsidP="00736A29">
      <w:pPr>
        <w:jc w:val="both"/>
        <w:rPr>
          <w:rFonts w:ascii="Century Gothic" w:hAnsi="Century Gothic" w:cs="Arial"/>
          <w:color w:val="595959" w:themeColor="text1" w:themeTint="A6"/>
          <w:lang w:eastAsia="es-EC"/>
        </w:rPr>
      </w:pPr>
    </w:p>
    <w:p w14:paraId="4A7C3ED0" w14:textId="7AB5FBDF" w:rsidR="00EF5B23" w:rsidRDefault="00EF5B23" w:rsidP="00736A2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En el año 2021, se generan imputaciones de ventas totales, </w:t>
      </w:r>
      <w:r w:rsidR="007A51D6">
        <w:rPr>
          <w:rFonts w:ascii="Century Gothic" w:hAnsi="Century Gothic" w:cs="Arial"/>
          <w:color w:val="595959" w:themeColor="text1" w:themeTint="A6"/>
          <w:lang w:eastAsia="es-EC"/>
        </w:rPr>
        <w:t xml:space="preserve">como consecuencia de la culminación del convenio del SRI, </w:t>
      </w:r>
      <w:r w:rsidR="0073121A">
        <w:rPr>
          <w:rFonts w:ascii="Century Gothic" w:hAnsi="Century Gothic" w:cs="Arial"/>
          <w:color w:val="595959" w:themeColor="text1" w:themeTint="A6"/>
          <w:lang w:eastAsia="es-EC"/>
        </w:rPr>
        <w:t>para obtener esta variable fue necesario revisar e imputar la información.</w:t>
      </w:r>
    </w:p>
    <w:p w14:paraId="56D42400" w14:textId="77777777" w:rsidR="0073121A" w:rsidRDefault="0073121A" w:rsidP="00736A29">
      <w:pPr>
        <w:jc w:val="both"/>
        <w:rPr>
          <w:rFonts w:ascii="Century Gothic" w:hAnsi="Century Gothic" w:cs="Arial"/>
          <w:color w:val="595959" w:themeColor="text1" w:themeTint="A6"/>
          <w:lang w:eastAsia="es-EC"/>
        </w:rPr>
      </w:pPr>
    </w:p>
    <w:p w14:paraId="7F37B701" w14:textId="3361FF03" w:rsidR="0073121A" w:rsidRDefault="0073121A" w:rsidP="00736A2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En primer </w:t>
      </w:r>
      <w:r w:rsidR="00542EC1">
        <w:rPr>
          <w:rFonts w:ascii="Century Gothic" w:hAnsi="Century Gothic" w:cs="Arial"/>
          <w:color w:val="595959" w:themeColor="text1" w:themeTint="A6"/>
          <w:lang w:eastAsia="es-EC"/>
        </w:rPr>
        <w:t>lugar,</w:t>
      </w:r>
      <w:r>
        <w:rPr>
          <w:rFonts w:ascii="Century Gothic" w:hAnsi="Century Gothic" w:cs="Arial"/>
          <w:color w:val="595959" w:themeColor="text1" w:themeTint="A6"/>
          <w:lang w:eastAsia="es-EC"/>
        </w:rPr>
        <w:t xml:space="preserve"> se realizó una búsqueda de fuentes externas de las cuales podamos recuperar información de ventas totales de las empresas</w:t>
      </w:r>
      <w:r w:rsidR="00511006">
        <w:rPr>
          <w:rFonts w:ascii="Century Gothic" w:hAnsi="Century Gothic" w:cs="Arial"/>
          <w:color w:val="595959" w:themeColor="text1" w:themeTint="A6"/>
          <w:lang w:eastAsia="es-EC"/>
        </w:rPr>
        <w:t xml:space="preserve">, a </w:t>
      </w:r>
      <w:r w:rsidR="00542EC1">
        <w:rPr>
          <w:rFonts w:ascii="Century Gothic" w:hAnsi="Century Gothic" w:cs="Arial"/>
          <w:color w:val="595959" w:themeColor="text1" w:themeTint="A6"/>
          <w:lang w:eastAsia="es-EC"/>
        </w:rPr>
        <w:t>continuación,</w:t>
      </w:r>
      <w:r w:rsidR="00511006">
        <w:rPr>
          <w:rFonts w:ascii="Century Gothic" w:hAnsi="Century Gothic" w:cs="Arial"/>
          <w:color w:val="595959" w:themeColor="text1" w:themeTint="A6"/>
          <w:lang w:eastAsia="es-EC"/>
        </w:rPr>
        <w:t xml:space="preserve"> el detalle:</w:t>
      </w:r>
    </w:p>
    <w:p w14:paraId="28D42039" w14:textId="77777777" w:rsidR="00251ECD" w:rsidRDefault="00251ECD" w:rsidP="00736A29">
      <w:pPr>
        <w:jc w:val="both"/>
        <w:rPr>
          <w:rFonts w:ascii="Century Gothic" w:hAnsi="Century Gothic" w:cs="Arial"/>
          <w:color w:val="595959" w:themeColor="text1" w:themeTint="A6"/>
          <w:lang w:eastAsia="es-EC"/>
        </w:rPr>
      </w:pPr>
    </w:p>
    <w:p w14:paraId="6754BE5F" w14:textId="03B77762" w:rsidR="00F3208F" w:rsidRPr="00251ECD" w:rsidRDefault="00F3208F" w:rsidP="00F3208F">
      <w:pPr>
        <w:pStyle w:val="Prrafodelista"/>
        <w:numPr>
          <w:ilvl w:val="0"/>
          <w:numId w:val="36"/>
        </w:numPr>
        <w:rPr>
          <w:rFonts w:ascii="Century Gothic" w:hAnsi="Century Gothic" w:cs="Arial"/>
          <w:color w:val="595959" w:themeColor="text1" w:themeTint="A6"/>
          <w:sz w:val="24"/>
          <w:lang w:eastAsia="es-EC"/>
        </w:rPr>
      </w:pPr>
      <w:r w:rsidRPr="00251ECD">
        <w:rPr>
          <w:rFonts w:ascii="Century Gothic" w:hAnsi="Century Gothic" w:cs="Arial"/>
          <w:color w:val="595959" w:themeColor="text1" w:themeTint="A6"/>
          <w:sz w:val="24"/>
          <w:lang w:eastAsia="es-EC"/>
        </w:rPr>
        <w:t xml:space="preserve">Superintendencia de Compañías </w:t>
      </w:r>
      <w:r w:rsidR="00511006" w:rsidRPr="00251ECD">
        <w:rPr>
          <w:rFonts w:ascii="Century Gothic" w:hAnsi="Century Gothic" w:cs="Arial"/>
          <w:color w:val="595959" w:themeColor="text1" w:themeTint="A6"/>
          <w:sz w:val="24"/>
          <w:lang w:eastAsia="es-EC"/>
        </w:rPr>
        <w:t xml:space="preserve">se </w:t>
      </w:r>
      <w:r w:rsidRPr="00251ECD">
        <w:rPr>
          <w:rFonts w:ascii="Century Gothic" w:hAnsi="Century Gothic" w:cs="Arial"/>
          <w:color w:val="595959" w:themeColor="text1" w:themeTint="A6"/>
          <w:sz w:val="24"/>
          <w:lang w:eastAsia="es-EC"/>
        </w:rPr>
        <w:t>recupera</w:t>
      </w:r>
      <w:r w:rsidR="00511006" w:rsidRPr="00251ECD">
        <w:rPr>
          <w:rFonts w:ascii="Century Gothic" w:hAnsi="Century Gothic" w:cs="Arial"/>
          <w:color w:val="595959" w:themeColor="text1" w:themeTint="A6"/>
          <w:sz w:val="24"/>
          <w:lang w:eastAsia="es-EC"/>
        </w:rPr>
        <w:t xml:space="preserve"> información</w:t>
      </w:r>
      <w:r w:rsidRPr="00251ECD">
        <w:rPr>
          <w:rFonts w:ascii="Century Gothic" w:hAnsi="Century Gothic" w:cs="Arial"/>
          <w:color w:val="595959" w:themeColor="text1" w:themeTint="A6"/>
          <w:sz w:val="24"/>
          <w:lang w:eastAsia="es-EC"/>
        </w:rPr>
        <w:t xml:space="preserve"> de los balances anuales </w:t>
      </w:r>
      <w:r w:rsidR="00511006" w:rsidRPr="00251ECD">
        <w:rPr>
          <w:rFonts w:ascii="Century Gothic" w:hAnsi="Century Gothic" w:cs="Arial"/>
          <w:color w:val="595959" w:themeColor="text1" w:themeTint="A6"/>
          <w:sz w:val="24"/>
          <w:lang w:eastAsia="es-EC"/>
        </w:rPr>
        <w:t>(</w:t>
      </w:r>
      <w:r w:rsidR="0032667E" w:rsidRPr="00251ECD">
        <w:rPr>
          <w:rFonts w:ascii="Century Gothic" w:hAnsi="Century Gothic" w:cs="Arial"/>
          <w:color w:val="595959" w:themeColor="text1" w:themeTint="A6"/>
          <w:sz w:val="24"/>
          <w:lang w:eastAsia="es-EC"/>
        </w:rPr>
        <w:t>2021</w:t>
      </w:r>
      <w:r w:rsidR="00511006" w:rsidRPr="00251ECD">
        <w:rPr>
          <w:rFonts w:ascii="Century Gothic" w:hAnsi="Century Gothic" w:cs="Arial"/>
          <w:color w:val="595959" w:themeColor="text1" w:themeTint="A6"/>
          <w:sz w:val="24"/>
          <w:lang w:eastAsia="es-EC"/>
        </w:rPr>
        <w:t>)</w:t>
      </w:r>
      <w:r w:rsidR="0032667E" w:rsidRPr="00251ECD">
        <w:rPr>
          <w:rFonts w:ascii="Century Gothic" w:hAnsi="Century Gothic" w:cs="Arial"/>
          <w:color w:val="595959" w:themeColor="text1" w:themeTint="A6"/>
          <w:sz w:val="24"/>
          <w:lang w:eastAsia="es-EC"/>
        </w:rPr>
        <w:t xml:space="preserve"> de las empresas que se rigen bajo esta institución.</w:t>
      </w:r>
    </w:p>
    <w:p w14:paraId="0FD40DBF" w14:textId="1E4320EB" w:rsidR="0032667E" w:rsidRPr="00251ECD" w:rsidRDefault="00D05C16" w:rsidP="00F3208F">
      <w:pPr>
        <w:pStyle w:val="Prrafodelista"/>
        <w:numPr>
          <w:ilvl w:val="0"/>
          <w:numId w:val="36"/>
        </w:numPr>
        <w:rPr>
          <w:rFonts w:ascii="Century Gothic" w:hAnsi="Century Gothic" w:cs="Arial"/>
          <w:color w:val="595959" w:themeColor="text1" w:themeTint="A6"/>
          <w:sz w:val="24"/>
          <w:lang w:eastAsia="es-EC"/>
        </w:rPr>
      </w:pPr>
      <w:r w:rsidRPr="00251ECD">
        <w:rPr>
          <w:rFonts w:ascii="Century Gothic" w:hAnsi="Century Gothic" w:cs="Arial"/>
          <w:color w:val="595959" w:themeColor="text1" w:themeTint="A6"/>
          <w:sz w:val="24"/>
          <w:lang w:eastAsia="es-EC"/>
        </w:rPr>
        <w:t>Superintendencia de Bancos se recuperó información de los Bancos</w:t>
      </w:r>
      <w:r w:rsidR="007A0D61" w:rsidRPr="00251ECD">
        <w:rPr>
          <w:rFonts w:ascii="Century Gothic" w:hAnsi="Century Gothic" w:cs="Arial"/>
          <w:color w:val="595959" w:themeColor="text1" w:themeTint="A6"/>
          <w:sz w:val="24"/>
          <w:lang w:eastAsia="es-EC"/>
        </w:rPr>
        <w:t xml:space="preserve"> que son regulados por esta </w:t>
      </w:r>
      <w:r w:rsidR="00251ECD" w:rsidRPr="00251ECD">
        <w:rPr>
          <w:rFonts w:ascii="Century Gothic" w:hAnsi="Century Gothic" w:cs="Arial"/>
          <w:color w:val="595959" w:themeColor="text1" w:themeTint="A6"/>
          <w:sz w:val="24"/>
          <w:lang w:eastAsia="es-EC"/>
        </w:rPr>
        <w:t>institución, a</w:t>
      </w:r>
      <w:r w:rsidRPr="00251ECD">
        <w:rPr>
          <w:rFonts w:ascii="Century Gothic" w:hAnsi="Century Gothic" w:cs="Arial"/>
          <w:color w:val="595959" w:themeColor="text1" w:themeTint="A6"/>
          <w:sz w:val="24"/>
          <w:lang w:eastAsia="es-EC"/>
        </w:rPr>
        <w:t xml:space="preserve"> nivel nacional</w:t>
      </w:r>
      <w:r w:rsidR="007A0D61" w:rsidRPr="00251ECD">
        <w:rPr>
          <w:rFonts w:ascii="Century Gothic" w:hAnsi="Century Gothic" w:cs="Arial"/>
          <w:color w:val="595959" w:themeColor="text1" w:themeTint="A6"/>
          <w:sz w:val="24"/>
          <w:lang w:eastAsia="es-EC"/>
        </w:rPr>
        <w:t>.</w:t>
      </w:r>
    </w:p>
    <w:p w14:paraId="538FF9E7" w14:textId="018BDE41" w:rsidR="00D05C16" w:rsidRPr="00251ECD" w:rsidRDefault="00C23539" w:rsidP="00F3208F">
      <w:pPr>
        <w:pStyle w:val="Prrafodelista"/>
        <w:numPr>
          <w:ilvl w:val="0"/>
          <w:numId w:val="36"/>
        </w:numPr>
        <w:rPr>
          <w:rFonts w:ascii="Century Gothic" w:hAnsi="Century Gothic" w:cs="Arial"/>
          <w:color w:val="595959" w:themeColor="text1" w:themeTint="A6"/>
          <w:sz w:val="24"/>
          <w:lang w:eastAsia="es-EC"/>
        </w:rPr>
      </w:pPr>
      <w:r w:rsidRPr="00251ECD">
        <w:rPr>
          <w:rFonts w:ascii="Century Gothic" w:hAnsi="Century Gothic" w:cs="Arial"/>
          <w:color w:val="595959" w:themeColor="text1" w:themeTint="A6"/>
          <w:sz w:val="24"/>
          <w:lang w:eastAsia="es-EC"/>
        </w:rPr>
        <w:t xml:space="preserve">Superintendencia de Economía Popular y Solidaria, </w:t>
      </w:r>
      <w:r w:rsidR="00AB5AAD" w:rsidRPr="00251ECD">
        <w:rPr>
          <w:rFonts w:ascii="Century Gothic" w:hAnsi="Century Gothic" w:cs="Arial"/>
          <w:color w:val="595959" w:themeColor="text1" w:themeTint="A6"/>
          <w:sz w:val="24"/>
          <w:lang w:eastAsia="es-EC"/>
        </w:rPr>
        <w:t xml:space="preserve">se </w:t>
      </w:r>
      <w:r w:rsidR="00CA3293" w:rsidRPr="00251ECD">
        <w:rPr>
          <w:rFonts w:ascii="Century Gothic" w:hAnsi="Century Gothic" w:cs="Arial"/>
          <w:color w:val="595959" w:themeColor="text1" w:themeTint="A6"/>
          <w:sz w:val="24"/>
          <w:lang w:eastAsia="es-EC"/>
        </w:rPr>
        <w:t>recuperó</w:t>
      </w:r>
      <w:r w:rsidR="00AB5AAD" w:rsidRPr="00251ECD">
        <w:rPr>
          <w:rFonts w:ascii="Century Gothic" w:hAnsi="Century Gothic" w:cs="Arial"/>
          <w:color w:val="595959" w:themeColor="text1" w:themeTint="A6"/>
          <w:sz w:val="24"/>
          <w:lang w:eastAsia="es-EC"/>
        </w:rPr>
        <w:t xml:space="preserve"> información del sector financiero dentro del cual se encontraban cooperativas y mutualistas a nivel nacional.</w:t>
      </w:r>
    </w:p>
    <w:p w14:paraId="1D4C4B18" w14:textId="633E98D2" w:rsidR="00AB5AAD" w:rsidRPr="00251ECD" w:rsidRDefault="0041459B" w:rsidP="00F3208F">
      <w:pPr>
        <w:pStyle w:val="Prrafodelista"/>
        <w:numPr>
          <w:ilvl w:val="0"/>
          <w:numId w:val="36"/>
        </w:numPr>
        <w:rPr>
          <w:rFonts w:ascii="Century Gothic" w:hAnsi="Century Gothic" w:cs="Arial"/>
          <w:color w:val="595959" w:themeColor="text1" w:themeTint="A6"/>
          <w:sz w:val="24"/>
          <w:lang w:eastAsia="es-EC"/>
        </w:rPr>
      </w:pPr>
      <w:r w:rsidRPr="00251ECD">
        <w:rPr>
          <w:rFonts w:ascii="Century Gothic" w:hAnsi="Century Gothic" w:cs="Arial"/>
          <w:color w:val="595959" w:themeColor="text1" w:themeTint="A6"/>
          <w:sz w:val="24"/>
          <w:lang w:eastAsia="es-EC"/>
        </w:rPr>
        <w:t xml:space="preserve">Servicios de Rentas Internas, se recuperó la última información que se obtuvo antes de la culminación del </w:t>
      </w:r>
      <w:r w:rsidR="00CA3293" w:rsidRPr="00251ECD">
        <w:rPr>
          <w:rFonts w:ascii="Century Gothic" w:hAnsi="Century Gothic" w:cs="Arial"/>
          <w:color w:val="595959" w:themeColor="text1" w:themeTint="A6"/>
          <w:sz w:val="24"/>
          <w:lang w:eastAsia="es-EC"/>
        </w:rPr>
        <w:t>convenio</w:t>
      </w:r>
      <w:r w:rsidRPr="00251ECD">
        <w:rPr>
          <w:rFonts w:ascii="Century Gothic" w:hAnsi="Century Gothic" w:cs="Arial"/>
          <w:color w:val="595959" w:themeColor="text1" w:themeTint="A6"/>
          <w:sz w:val="24"/>
          <w:lang w:eastAsia="es-EC"/>
        </w:rPr>
        <w:t>.</w:t>
      </w:r>
    </w:p>
    <w:p w14:paraId="2494BC70" w14:textId="412EF1BF" w:rsidR="00560917" w:rsidRPr="00251ECD" w:rsidRDefault="00560917" w:rsidP="00F3208F">
      <w:pPr>
        <w:pStyle w:val="Prrafodelista"/>
        <w:numPr>
          <w:ilvl w:val="0"/>
          <w:numId w:val="36"/>
        </w:numPr>
        <w:rPr>
          <w:rFonts w:ascii="Century Gothic" w:hAnsi="Century Gothic" w:cs="Arial"/>
          <w:color w:val="595959" w:themeColor="text1" w:themeTint="A6"/>
          <w:sz w:val="24"/>
          <w:lang w:eastAsia="es-EC"/>
        </w:rPr>
      </w:pPr>
      <w:r w:rsidRPr="00251ECD">
        <w:rPr>
          <w:rFonts w:ascii="Century Gothic" w:hAnsi="Century Gothic" w:cs="Arial"/>
          <w:color w:val="595959" w:themeColor="text1" w:themeTint="A6"/>
          <w:sz w:val="24"/>
          <w:lang w:eastAsia="es-EC"/>
        </w:rPr>
        <w:t xml:space="preserve">Encuesta </w:t>
      </w:r>
      <w:r w:rsidR="00596935" w:rsidRPr="00251ECD">
        <w:rPr>
          <w:rFonts w:ascii="Century Gothic" w:hAnsi="Century Gothic" w:cs="Arial"/>
          <w:color w:val="595959" w:themeColor="text1" w:themeTint="A6"/>
          <w:sz w:val="24"/>
          <w:lang w:eastAsia="es-EC"/>
        </w:rPr>
        <w:t>Estructural Empresarial, se recuperó información disponible para grandes y medianas empresas, para el caso de las empresas PETROECUADOR Y PETROAMAZONAS</w:t>
      </w:r>
      <w:r w:rsidR="007A0D61" w:rsidRPr="00251ECD">
        <w:rPr>
          <w:rFonts w:ascii="Century Gothic" w:hAnsi="Century Gothic" w:cs="Arial"/>
          <w:color w:val="595959" w:themeColor="text1" w:themeTint="A6"/>
          <w:sz w:val="24"/>
          <w:lang w:eastAsia="es-EC"/>
        </w:rPr>
        <w:t>.</w:t>
      </w:r>
    </w:p>
    <w:p w14:paraId="5B69746B" w14:textId="1052A380" w:rsidR="0041459B" w:rsidRDefault="00560917" w:rsidP="00542EC1">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Una vez que se </w:t>
      </w:r>
      <w:r w:rsidR="00CA3293">
        <w:rPr>
          <w:rFonts w:ascii="Century Gothic" w:hAnsi="Century Gothic" w:cs="Arial"/>
          <w:color w:val="595959" w:themeColor="text1" w:themeTint="A6"/>
          <w:lang w:eastAsia="es-EC"/>
        </w:rPr>
        <w:t>cargó</w:t>
      </w:r>
      <w:r>
        <w:rPr>
          <w:rFonts w:ascii="Century Gothic" w:hAnsi="Century Gothic" w:cs="Arial"/>
          <w:color w:val="595959" w:themeColor="text1" w:themeTint="A6"/>
          <w:lang w:eastAsia="es-EC"/>
        </w:rPr>
        <w:t xml:space="preserve"> toda la información disponible de las diferentes </w:t>
      </w:r>
      <w:r w:rsidR="00037E7B">
        <w:rPr>
          <w:rFonts w:ascii="Century Gothic" w:hAnsi="Century Gothic" w:cs="Arial"/>
          <w:color w:val="595959" w:themeColor="text1" w:themeTint="A6"/>
          <w:lang w:eastAsia="es-EC"/>
        </w:rPr>
        <w:t>fuentes</w:t>
      </w:r>
      <w:r w:rsidR="00B073C4">
        <w:rPr>
          <w:rFonts w:ascii="Century Gothic" w:hAnsi="Century Gothic" w:cs="Arial"/>
          <w:color w:val="595959" w:themeColor="text1" w:themeTint="A6"/>
          <w:lang w:eastAsia="es-EC"/>
        </w:rPr>
        <w:t xml:space="preserve"> y se realizó el análisis correspondiente,</w:t>
      </w:r>
      <w:r w:rsidR="00037E7B">
        <w:rPr>
          <w:rFonts w:ascii="Century Gothic" w:hAnsi="Century Gothic" w:cs="Arial"/>
          <w:color w:val="595959" w:themeColor="text1" w:themeTint="A6"/>
          <w:lang w:eastAsia="es-EC"/>
        </w:rPr>
        <w:t xml:space="preserve"> se optó por realizar imputaciones principalmente para las empresas que no se </w:t>
      </w:r>
      <w:r w:rsidR="00251ECD">
        <w:rPr>
          <w:rFonts w:ascii="Century Gothic" w:hAnsi="Century Gothic" w:cs="Arial"/>
          <w:color w:val="595959" w:themeColor="text1" w:themeTint="A6"/>
          <w:lang w:eastAsia="es-EC"/>
        </w:rPr>
        <w:t xml:space="preserve">fue posible </w:t>
      </w:r>
      <w:r w:rsidR="00037E7B">
        <w:rPr>
          <w:rFonts w:ascii="Century Gothic" w:hAnsi="Century Gothic" w:cs="Arial"/>
          <w:color w:val="595959" w:themeColor="text1" w:themeTint="A6"/>
          <w:lang w:eastAsia="es-EC"/>
        </w:rPr>
        <w:t>recuperar ventas</w:t>
      </w:r>
      <w:r w:rsidR="00B073C4">
        <w:rPr>
          <w:rFonts w:ascii="Century Gothic" w:hAnsi="Century Gothic" w:cs="Arial"/>
          <w:color w:val="595959" w:themeColor="text1" w:themeTint="A6"/>
          <w:lang w:eastAsia="es-EC"/>
        </w:rPr>
        <w:t>. Para ello,</w:t>
      </w:r>
      <w:r w:rsidR="00037E7B">
        <w:rPr>
          <w:rFonts w:ascii="Century Gothic" w:hAnsi="Century Gothic" w:cs="Arial"/>
          <w:color w:val="595959" w:themeColor="text1" w:themeTint="A6"/>
          <w:lang w:eastAsia="es-EC"/>
        </w:rPr>
        <w:t xml:space="preserve"> se tomó en cuenta las siguientes condiciones:</w:t>
      </w:r>
    </w:p>
    <w:p w14:paraId="5B623320" w14:textId="77777777" w:rsidR="00E3350A" w:rsidRDefault="00E3350A" w:rsidP="00560917">
      <w:pPr>
        <w:rPr>
          <w:rFonts w:ascii="Century Gothic" w:hAnsi="Century Gothic" w:cs="Arial"/>
          <w:color w:val="595959" w:themeColor="text1" w:themeTint="A6"/>
          <w:lang w:eastAsia="es-EC"/>
        </w:rPr>
      </w:pPr>
    </w:p>
    <w:p w14:paraId="6E3E862D" w14:textId="52470BB4" w:rsidR="00B073C4" w:rsidRPr="000D4214" w:rsidRDefault="00B073C4" w:rsidP="000D4214">
      <w:pPr>
        <w:pStyle w:val="Descripcin"/>
        <w:spacing w:after="0" w:line="276" w:lineRule="auto"/>
        <w:rPr>
          <w:rFonts w:ascii="Century Gothic" w:hAnsi="Century Gothic"/>
          <w:color w:val="595959" w:themeColor="text1" w:themeTint="A6"/>
        </w:rPr>
      </w:pPr>
      <w:bookmarkStart w:id="229" w:name="_Toc117591185"/>
      <w:r w:rsidRPr="000D4214">
        <w:rPr>
          <w:rFonts w:ascii="Century Gothic" w:hAnsi="Century Gothic"/>
          <w:color w:val="595959" w:themeColor="text1" w:themeTint="A6"/>
          <w:sz w:val="24"/>
        </w:rPr>
        <w:t xml:space="preserve">Tabla </w:t>
      </w:r>
      <w:r w:rsidRPr="000D4214">
        <w:rPr>
          <w:rFonts w:ascii="Century Gothic" w:hAnsi="Century Gothic"/>
          <w:color w:val="595959" w:themeColor="text1" w:themeTint="A6"/>
          <w:sz w:val="24"/>
        </w:rPr>
        <w:fldChar w:fldCharType="begin"/>
      </w:r>
      <w:r w:rsidRPr="000D4214">
        <w:rPr>
          <w:rFonts w:ascii="Century Gothic" w:hAnsi="Century Gothic"/>
          <w:color w:val="595959" w:themeColor="text1" w:themeTint="A6"/>
          <w:sz w:val="24"/>
        </w:rPr>
        <w:instrText xml:space="preserve"> SEQ Tabla \* ARABIC </w:instrText>
      </w:r>
      <w:r w:rsidRPr="000D4214">
        <w:rPr>
          <w:rFonts w:ascii="Century Gothic" w:hAnsi="Century Gothic"/>
          <w:color w:val="595959" w:themeColor="text1" w:themeTint="A6"/>
          <w:sz w:val="24"/>
        </w:rPr>
        <w:fldChar w:fldCharType="separate"/>
      </w:r>
      <w:r w:rsidR="004E3F87">
        <w:rPr>
          <w:rFonts w:ascii="Century Gothic" w:hAnsi="Century Gothic"/>
          <w:noProof/>
          <w:color w:val="595959" w:themeColor="text1" w:themeTint="A6"/>
          <w:sz w:val="24"/>
        </w:rPr>
        <w:t>9</w:t>
      </w:r>
      <w:r w:rsidRPr="000D4214">
        <w:rPr>
          <w:rFonts w:ascii="Century Gothic" w:hAnsi="Century Gothic"/>
          <w:color w:val="595959" w:themeColor="text1" w:themeTint="A6"/>
          <w:sz w:val="24"/>
        </w:rPr>
        <w:fldChar w:fldCharType="end"/>
      </w:r>
      <w:r>
        <w:rPr>
          <w:rFonts w:ascii="Century Gothic" w:hAnsi="Century Gothic"/>
          <w:color w:val="595959" w:themeColor="text1" w:themeTint="A6"/>
          <w:sz w:val="24"/>
        </w:rPr>
        <w:t xml:space="preserve">. </w:t>
      </w:r>
      <w:r w:rsidRPr="00251ECD">
        <w:rPr>
          <w:rFonts w:ascii="Century Gothic" w:hAnsi="Century Gothic"/>
          <w:b w:val="0"/>
          <w:color w:val="595959" w:themeColor="text1" w:themeTint="A6"/>
          <w:sz w:val="24"/>
        </w:rPr>
        <w:t>Condiciones</w:t>
      </w:r>
      <w:r w:rsidR="002F3466" w:rsidRPr="00251ECD">
        <w:rPr>
          <w:rFonts w:ascii="Century Gothic" w:hAnsi="Century Gothic"/>
          <w:b w:val="0"/>
          <w:color w:val="595959" w:themeColor="text1" w:themeTint="A6"/>
          <w:sz w:val="24"/>
        </w:rPr>
        <w:t xml:space="preserve"> definidas</w:t>
      </w:r>
      <w:r w:rsidRPr="00251ECD">
        <w:rPr>
          <w:rFonts w:ascii="Century Gothic" w:hAnsi="Century Gothic"/>
          <w:b w:val="0"/>
          <w:color w:val="595959" w:themeColor="text1" w:themeTint="A6"/>
          <w:sz w:val="24"/>
        </w:rPr>
        <w:t xml:space="preserve"> para la imputación de ventas</w:t>
      </w:r>
      <w:bookmarkEnd w:id="229"/>
    </w:p>
    <w:tbl>
      <w:tblPr>
        <w:tblStyle w:val="Tablaconcuadrcula"/>
        <w:tblW w:w="0" w:type="auto"/>
        <w:tblLook w:val="04A0" w:firstRow="1" w:lastRow="0" w:firstColumn="1" w:lastColumn="0" w:noHBand="0" w:noVBand="1"/>
      </w:tblPr>
      <w:tblGrid>
        <w:gridCol w:w="4244"/>
        <w:gridCol w:w="4244"/>
      </w:tblGrid>
      <w:tr w:rsidR="008A16E3" w14:paraId="167F59F1" w14:textId="77777777" w:rsidTr="00234A32">
        <w:trPr>
          <w:tblHeader/>
        </w:trPr>
        <w:tc>
          <w:tcPr>
            <w:tcW w:w="4244" w:type="dxa"/>
            <w:vAlign w:val="center"/>
          </w:tcPr>
          <w:p w14:paraId="16643B07" w14:textId="521EDD8C" w:rsidR="008A16E3" w:rsidRPr="00CA3293" w:rsidRDefault="001F0935" w:rsidP="00E3350A">
            <w:pPr>
              <w:jc w:val="center"/>
              <w:rPr>
                <w:rFonts w:ascii="Century Gothic" w:hAnsi="Century Gothic" w:cs="Arial"/>
                <w:b/>
                <w:color w:val="595959" w:themeColor="text1" w:themeTint="A6"/>
                <w:lang w:eastAsia="es-EC"/>
              </w:rPr>
            </w:pPr>
            <w:r w:rsidRPr="00CA3293">
              <w:rPr>
                <w:rFonts w:ascii="Century Gothic" w:hAnsi="Century Gothic" w:cs="Arial"/>
                <w:b/>
                <w:color w:val="595959" w:themeColor="text1" w:themeTint="A6"/>
                <w:lang w:eastAsia="es-EC"/>
              </w:rPr>
              <w:t>Condición</w:t>
            </w:r>
          </w:p>
        </w:tc>
        <w:tc>
          <w:tcPr>
            <w:tcW w:w="4244" w:type="dxa"/>
            <w:vAlign w:val="center"/>
          </w:tcPr>
          <w:p w14:paraId="1E3947AC" w14:textId="277C8F21" w:rsidR="008A16E3" w:rsidRPr="00E3350A" w:rsidRDefault="001F0935" w:rsidP="00E3350A">
            <w:pPr>
              <w:jc w:val="center"/>
              <w:rPr>
                <w:rFonts w:ascii="Century Gothic" w:hAnsi="Century Gothic" w:cs="Arial"/>
                <w:b/>
                <w:bCs/>
                <w:color w:val="595959" w:themeColor="text1" w:themeTint="A6"/>
                <w:lang w:eastAsia="es-EC"/>
              </w:rPr>
            </w:pPr>
            <w:r w:rsidRPr="00E3350A">
              <w:rPr>
                <w:rFonts w:ascii="Century Gothic" w:hAnsi="Century Gothic" w:cs="Arial"/>
                <w:b/>
                <w:bCs/>
                <w:color w:val="595959" w:themeColor="text1" w:themeTint="A6"/>
                <w:lang w:eastAsia="es-EC"/>
              </w:rPr>
              <w:t>Detalle</w:t>
            </w:r>
          </w:p>
        </w:tc>
      </w:tr>
      <w:tr w:rsidR="008A16E3" w14:paraId="2EC37D2E" w14:textId="77777777" w:rsidTr="008F69C6">
        <w:tc>
          <w:tcPr>
            <w:tcW w:w="4244" w:type="dxa"/>
            <w:vAlign w:val="center"/>
          </w:tcPr>
          <w:p w14:paraId="2EAA3ED4" w14:textId="046387D7" w:rsidR="008A16E3" w:rsidRPr="008C55A5" w:rsidRDefault="001F0935" w:rsidP="008F69C6">
            <w:pPr>
              <w:jc w:val="center"/>
              <w:rPr>
                <w:rFonts w:ascii="Century Gothic" w:hAnsi="Century Gothic" w:cs="Arial"/>
                <w:color w:val="595959" w:themeColor="text1" w:themeTint="A6"/>
                <w:lang w:eastAsia="es-EC"/>
              </w:rPr>
            </w:pPr>
            <w:r w:rsidRPr="008C55A5">
              <w:rPr>
                <w:rFonts w:ascii="Century Gothic" w:hAnsi="Century Gothic" w:cs="Arial"/>
                <w:color w:val="595959" w:themeColor="text1" w:themeTint="A6"/>
                <w:lang w:eastAsia="es-EC"/>
              </w:rPr>
              <w:t xml:space="preserve">Imputación tasa de crecimiento de plazas de empleo </w:t>
            </w:r>
            <w:r w:rsidR="008A0F85" w:rsidRPr="008C55A5">
              <w:rPr>
                <w:rFonts w:ascii="Century Gothic" w:hAnsi="Century Gothic" w:cs="Arial"/>
                <w:color w:val="595959" w:themeColor="text1" w:themeTint="A6"/>
                <w:lang w:eastAsia="es-EC"/>
              </w:rPr>
              <w:t>registrado</w:t>
            </w:r>
            <w:r w:rsidRPr="008C55A5">
              <w:rPr>
                <w:rFonts w:ascii="Century Gothic" w:hAnsi="Century Gothic" w:cs="Arial"/>
                <w:color w:val="595959" w:themeColor="text1" w:themeTint="A6"/>
                <w:lang w:eastAsia="es-EC"/>
              </w:rPr>
              <w:t xml:space="preserve"> equivalente 202</w:t>
            </w:r>
            <w:r w:rsidR="00D52886">
              <w:rPr>
                <w:rFonts w:ascii="Century Gothic" w:hAnsi="Century Gothic" w:cs="Arial"/>
                <w:color w:val="595959" w:themeColor="text1" w:themeTint="A6"/>
                <w:lang w:eastAsia="es-EC"/>
              </w:rPr>
              <w:t>0</w:t>
            </w:r>
            <w:r w:rsidRPr="008C55A5">
              <w:rPr>
                <w:rFonts w:ascii="Century Gothic" w:hAnsi="Century Gothic" w:cs="Arial"/>
                <w:color w:val="595959" w:themeColor="text1" w:themeTint="A6"/>
                <w:lang w:eastAsia="es-EC"/>
              </w:rPr>
              <w:t>-2019</w:t>
            </w:r>
          </w:p>
        </w:tc>
        <w:tc>
          <w:tcPr>
            <w:tcW w:w="4244" w:type="dxa"/>
          </w:tcPr>
          <w:p w14:paraId="02858335" w14:textId="7D8F9A31" w:rsidR="008A16E3" w:rsidRDefault="004B2FED" w:rsidP="007079E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Son los registros que disponían de información en plazas equivalente en </w:t>
            </w:r>
            <w:r w:rsidR="00B073C4">
              <w:rPr>
                <w:rFonts w:ascii="Century Gothic" w:hAnsi="Century Gothic" w:cs="Arial"/>
                <w:color w:val="595959" w:themeColor="text1" w:themeTint="A6"/>
                <w:lang w:eastAsia="es-EC"/>
              </w:rPr>
              <w:t xml:space="preserve">2020 y </w:t>
            </w:r>
            <w:r>
              <w:rPr>
                <w:rFonts w:ascii="Century Gothic" w:hAnsi="Century Gothic" w:cs="Arial"/>
                <w:color w:val="595959" w:themeColor="text1" w:themeTint="A6"/>
                <w:lang w:eastAsia="es-EC"/>
              </w:rPr>
              <w:t>2021, además que tengan un valor en ventas totales del año 2020.</w:t>
            </w:r>
          </w:p>
          <w:p w14:paraId="54392168" w14:textId="2EA6CC6A" w:rsidR="004B2FED" w:rsidRDefault="004B2FED" w:rsidP="007079E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Por lo </w:t>
            </w:r>
            <w:r w:rsidR="008A0F85">
              <w:rPr>
                <w:rFonts w:ascii="Century Gothic" w:hAnsi="Century Gothic" w:cs="Arial"/>
                <w:color w:val="595959" w:themeColor="text1" w:themeTint="A6"/>
                <w:lang w:eastAsia="es-EC"/>
              </w:rPr>
              <w:t>tanto,</w:t>
            </w:r>
            <w:r>
              <w:rPr>
                <w:rFonts w:ascii="Century Gothic" w:hAnsi="Century Gothic" w:cs="Arial"/>
                <w:color w:val="595959" w:themeColor="text1" w:themeTint="A6"/>
                <w:lang w:eastAsia="es-EC"/>
              </w:rPr>
              <w:t xml:space="preserve"> se obtuvo la tasa de crecimiento de plazas y se distribuyó </w:t>
            </w:r>
            <w:r w:rsidR="008A0F85">
              <w:rPr>
                <w:rFonts w:ascii="Century Gothic" w:hAnsi="Century Gothic" w:cs="Arial"/>
                <w:color w:val="595959" w:themeColor="text1" w:themeTint="A6"/>
                <w:lang w:eastAsia="es-EC"/>
              </w:rPr>
              <w:t xml:space="preserve">las ventas del 2020 </w:t>
            </w:r>
            <w:r w:rsidR="00AA210D">
              <w:rPr>
                <w:rFonts w:ascii="Century Gothic" w:hAnsi="Century Gothic" w:cs="Arial"/>
                <w:color w:val="595959" w:themeColor="text1" w:themeTint="A6"/>
                <w:lang w:eastAsia="es-EC"/>
              </w:rPr>
              <w:t>de acuerdo con</w:t>
            </w:r>
            <w:r w:rsidR="008A0F85">
              <w:rPr>
                <w:rFonts w:ascii="Century Gothic" w:hAnsi="Century Gothic" w:cs="Arial"/>
                <w:color w:val="595959" w:themeColor="text1" w:themeTint="A6"/>
                <w:lang w:eastAsia="es-EC"/>
              </w:rPr>
              <w:t xml:space="preserve"> este porcentaje</w:t>
            </w:r>
          </w:p>
        </w:tc>
      </w:tr>
      <w:tr w:rsidR="008A16E3" w14:paraId="40C8CF84" w14:textId="77777777" w:rsidTr="008F69C6">
        <w:tc>
          <w:tcPr>
            <w:tcW w:w="4244" w:type="dxa"/>
            <w:vAlign w:val="center"/>
          </w:tcPr>
          <w:p w14:paraId="1CA624DB" w14:textId="076485C3" w:rsidR="008A16E3" w:rsidRPr="008C55A5" w:rsidRDefault="0043019C" w:rsidP="008F69C6">
            <w:pPr>
              <w:jc w:val="center"/>
              <w:rPr>
                <w:rFonts w:ascii="Century Gothic" w:hAnsi="Century Gothic" w:cs="Arial"/>
                <w:color w:val="595959" w:themeColor="text1" w:themeTint="A6"/>
                <w:lang w:eastAsia="es-EC"/>
              </w:rPr>
            </w:pPr>
            <w:r w:rsidRPr="008C55A5">
              <w:rPr>
                <w:rFonts w:ascii="Century Gothic" w:hAnsi="Century Gothic" w:cs="Arial"/>
                <w:color w:val="595959" w:themeColor="text1" w:themeTint="A6"/>
                <w:lang w:eastAsia="es-EC"/>
              </w:rPr>
              <w:t xml:space="preserve">Promedio de ventas 2018 </w:t>
            </w:r>
            <w:r w:rsidR="00AA210D" w:rsidRPr="008C55A5">
              <w:rPr>
                <w:rFonts w:ascii="Century Gothic" w:hAnsi="Century Gothic" w:cs="Arial"/>
                <w:color w:val="595959" w:themeColor="text1" w:themeTint="A6"/>
                <w:lang w:eastAsia="es-EC"/>
              </w:rPr>
              <w:t>–</w:t>
            </w:r>
            <w:r w:rsidRPr="008C55A5">
              <w:rPr>
                <w:rFonts w:ascii="Century Gothic" w:hAnsi="Century Gothic" w:cs="Arial"/>
                <w:color w:val="595959" w:themeColor="text1" w:themeTint="A6"/>
                <w:lang w:eastAsia="es-EC"/>
              </w:rPr>
              <w:t xml:space="preserve"> </w:t>
            </w:r>
            <w:r w:rsidR="00AA210D" w:rsidRPr="008C55A5">
              <w:rPr>
                <w:rFonts w:ascii="Century Gothic" w:hAnsi="Century Gothic" w:cs="Arial"/>
                <w:color w:val="595959" w:themeColor="text1" w:themeTint="A6"/>
                <w:lang w:eastAsia="es-EC"/>
              </w:rPr>
              <w:t>2020</w:t>
            </w:r>
          </w:p>
        </w:tc>
        <w:tc>
          <w:tcPr>
            <w:tcW w:w="4244" w:type="dxa"/>
          </w:tcPr>
          <w:p w14:paraId="2CE0A28D" w14:textId="75F5E57D" w:rsidR="008A16E3" w:rsidRDefault="00AA210D" w:rsidP="007079E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Para los registros que solo tienen plazas de empleo registrado en 2021, no disponen plazas de empleo registrado para el año 2020, se realiza un promedio de las ventas de la empresa en el periodo 2018-2020.</w:t>
            </w:r>
          </w:p>
        </w:tc>
      </w:tr>
      <w:tr w:rsidR="008A16E3" w14:paraId="68AEB5FB" w14:textId="77777777" w:rsidTr="008F69C6">
        <w:tc>
          <w:tcPr>
            <w:tcW w:w="4244" w:type="dxa"/>
            <w:vAlign w:val="center"/>
          </w:tcPr>
          <w:p w14:paraId="72CDE20D" w14:textId="33B5B040" w:rsidR="008A16E3" w:rsidRPr="008C55A5" w:rsidRDefault="0012799A" w:rsidP="008F69C6">
            <w:pPr>
              <w:jc w:val="center"/>
              <w:rPr>
                <w:rFonts w:ascii="Century Gothic" w:hAnsi="Century Gothic" w:cs="Arial"/>
                <w:color w:val="595959" w:themeColor="text1" w:themeTint="A6"/>
                <w:lang w:eastAsia="es-EC"/>
              </w:rPr>
            </w:pPr>
            <w:r w:rsidRPr="008C55A5">
              <w:rPr>
                <w:rFonts w:ascii="Century Gothic" w:hAnsi="Century Gothic" w:cs="Arial"/>
                <w:color w:val="595959" w:themeColor="text1" w:themeTint="A6"/>
                <w:lang w:eastAsia="es-EC"/>
              </w:rPr>
              <w:t>Valor de ventas totales en cero</w:t>
            </w:r>
          </w:p>
        </w:tc>
        <w:tc>
          <w:tcPr>
            <w:tcW w:w="4244" w:type="dxa"/>
          </w:tcPr>
          <w:p w14:paraId="5F660A87" w14:textId="096515F1" w:rsidR="008A16E3" w:rsidRDefault="0012799A" w:rsidP="008F69C6">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 xml:space="preserve">Son los registros que no disponen plazas en </w:t>
            </w:r>
            <w:r w:rsidR="009555A2">
              <w:rPr>
                <w:rFonts w:ascii="Century Gothic" w:hAnsi="Century Gothic" w:cs="Arial"/>
                <w:color w:val="595959" w:themeColor="text1" w:themeTint="A6"/>
                <w:lang w:eastAsia="es-EC"/>
              </w:rPr>
              <w:t>2021, se mantiene el valor de ventas en cero.</w:t>
            </w:r>
          </w:p>
        </w:tc>
      </w:tr>
      <w:tr w:rsidR="007079E9" w14:paraId="0B384D5C" w14:textId="77777777" w:rsidTr="008F69C6">
        <w:tc>
          <w:tcPr>
            <w:tcW w:w="4244" w:type="dxa"/>
            <w:vAlign w:val="center"/>
          </w:tcPr>
          <w:p w14:paraId="63CD4603" w14:textId="01CB754E" w:rsidR="007079E9" w:rsidRPr="008C55A5" w:rsidRDefault="00F7300C" w:rsidP="008F69C6">
            <w:pPr>
              <w:jc w:val="center"/>
              <w:rPr>
                <w:rFonts w:ascii="Century Gothic" w:hAnsi="Century Gothic" w:cs="Arial"/>
                <w:color w:val="595959" w:themeColor="text1" w:themeTint="A6"/>
                <w:lang w:eastAsia="es-EC"/>
              </w:rPr>
            </w:pPr>
            <w:r w:rsidRPr="008C55A5">
              <w:rPr>
                <w:rFonts w:ascii="Century Gothic" w:hAnsi="Century Gothic" w:cs="Arial"/>
                <w:color w:val="595959" w:themeColor="text1" w:themeTint="A6"/>
                <w:lang w:eastAsia="es-EC"/>
              </w:rPr>
              <w:t>Sin plazas en 2019, 2020 y 2021, con ventas en 2018, 2019, 2020.</w:t>
            </w:r>
          </w:p>
        </w:tc>
        <w:tc>
          <w:tcPr>
            <w:tcW w:w="4244" w:type="dxa"/>
          </w:tcPr>
          <w:p w14:paraId="5503BB61" w14:textId="678F801E" w:rsidR="007079E9" w:rsidRDefault="00F7300C" w:rsidP="008F69C6">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En los registros que no tienen plazas en 2019,</w:t>
            </w:r>
            <w:r w:rsidR="00B073C4">
              <w:rPr>
                <w:rFonts w:ascii="Century Gothic" w:hAnsi="Century Gothic" w:cs="Arial"/>
                <w:color w:val="595959" w:themeColor="text1" w:themeTint="A6"/>
                <w:lang w:eastAsia="es-EC"/>
              </w:rPr>
              <w:t xml:space="preserve"> </w:t>
            </w:r>
            <w:r>
              <w:rPr>
                <w:rFonts w:ascii="Century Gothic" w:hAnsi="Century Gothic" w:cs="Arial"/>
                <w:color w:val="595959" w:themeColor="text1" w:themeTint="A6"/>
                <w:lang w:eastAsia="es-EC"/>
              </w:rPr>
              <w:t>2020 y 2021, pero los registros reportaron ventas en 2018, 2019 y 2020, se imputa las ventas con el valor promedio de los años en los que se disponga ventas.</w:t>
            </w:r>
          </w:p>
        </w:tc>
      </w:tr>
      <w:tr w:rsidR="00FC2FE5" w14:paraId="56F121B4" w14:textId="77777777" w:rsidTr="008F69C6">
        <w:tc>
          <w:tcPr>
            <w:tcW w:w="4244" w:type="dxa"/>
            <w:vAlign w:val="center"/>
          </w:tcPr>
          <w:p w14:paraId="622125C2" w14:textId="5E8AE2F2" w:rsidR="00FC2FE5" w:rsidRPr="008C55A5" w:rsidRDefault="00DD244E" w:rsidP="008F69C6">
            <w:pPr>
              <w:jc w:val="center"/>
              <w:rPr>
                <w:rFonts w:ascii="Century Gothic" w:hAnsi="Century Gothic" w:cs="Arial"/>
                <w:color w:val="595959" w:themeColor="text1" w:themeTint="A6"/>
                <w:lang w:eastAsia="es-EC"/>
              </w:rPr>
            </w:pPr>
            <w:r w:rsidRPr="008C55A5">
              <w:rPr>
                <w:rFonts w:ascii="Century Gothic" w:hAnsi="Century Gothic" w:cs="Arial"/>
                <w:color w:val="595959" w:themeColor="text1" w:themeTint="A6"/>
                <w:lang w:eastAsia="es-EC"/>
              </w:rPr>
              <w:t>Sin valor en ventas en 2020, se mantiene imputación por promedio</w:t>
            </w:r>
          </w:p>
        </w:tc>
        <w:tc>
          <w:tcPr>
            <w:tcW w:w="4244" w:type="dxa"/>
          </w:tcPr>
          <w:p w14:paraId="2CB2804F" w14:textId="5E84505D" w:rsidR="00FC2FE5" w:rsidRDefault="00DD244E" w:rsidP="008F69C6">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En los registros que no tienen información en ventas totales del año 2020, se mantiene la imputación realizada por promedio (2018-2019 y 2020).</w:t>
            </w:r>
          </w:p>
        </w:tc>
      </w:tr>
      <w:tr w:rsidR="00CA3293" w14:paraId="00D60EB7" w14:textId="77777777" w:rsidTr="008F69C6">
        <w:tc>
          <w:tcPr>
            <w:tcW w:w="4244" w:type="dxa"/>
            <w:vAlign w:val="center"/>
          </w:tcPr>
          <w:p w14:paraId="59076383" w14:textId="085BA530" w:rsidR="00CA3293" w:rsidRPr="008C55A5" w:rsidRDefault="00CA3293" w:rsidP="008F69C6">
            <w:pPr>
              <w:jc w:val="center"/>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Tasa de crecimiento según el código sección actividad (1 dígito)</w:t>
            </w:r>
          </w:p>
        </w:tc>
        <w:tc>
          <w:tcPr>
            <w:tcW w:w="4244" w:type="dxa"/>
          </w:tcPr>
          <w:p w14:paraId="0B81779A" w14:textId="585C4280" w:rsidR="00CA3293" w:rsidRDefault="00CA3293" w:rsidP="008F69C6">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En los registros se calculó el valor de ventas del 2021, con el porcentaje del crecimiento de la sección a la que pertenece.</w:t>
            </w:r>
          </w:p>
        </w:tc>
      </w:tr>
    </w:tbl>
    <w:p w14:paraId="5DD01CE3" w14:textId="6C9D8CE0" w:rsidR="00560917" w:rsidRPr="00251ECD" w:rsidRDefault="00251ECD" w:rsidP="00560917">
      <w:pPr>
        <w:rPr>
          <w:rFonts w:ascii="Century Gothic" w:hAnsi="Century Gothic" w:cs="Arial"/>
          <w:color w:val="595959" w:themeColor="text1" w:themeTint="A6"/>
          <w:sz w:val="16"/>
          <w:lang w:eastAsia="es-EC"/>
        </w:rPr>
      </w:pPr>
      <w:r w:rsidRPr="00251ECD">
        <w:rPr>
          <w:rFonts w:ascii="Century Gothic" w:hAnsi="Century Gothic" w:cs="Arial"/>
          <w:b/>
          <w:color w:val="595959" w:themeColor="text1" w:themeTint="A6"/>
          <w:sz w:val="16"/>
          <w:lang w:eastAsia="es-EC"/>
        </w:rPr>
        <w:t>Elaborado:</w:t>
      </w:r>
      <w:r w:rsidRPr="00251ECD">
        <w:rPr>
          <w:rFonts w:ascii="Century Gothic" w:hAnsi="Century Gothic" w:cs="Arial"/>
          <w:color w:val="595959" w:themeColor="text1" w:themeTint="A6"/>
          <w:sz w:val="16"/>
          <w:lang w:eastAsia="es-EC"/>
        </w:rPr>
        <w:t xml:space="preserve"> Directorio de Empresas</w:t>
      </w:r>
    </w:p>
    <w:p w14:paraId="23D480BE" w14:textId="77777777" w:rsidR="00251ECD" w:rsidRPr="00560917" w:rsidRDefault="00251ECD" w:rsidP="00560917">
      <w:pPr>
        <w:rPr>
          <w:rFonts w:ascii="Century Gothic" w:hAnsi="Century Gothic" w:cs="Arial"/>
          <w:color w:val="595959" w:themeColor="text1" w:themeTint="A6"/>
          <w:lang w:eastAsia="es-EC"/>
        </w:rPr>
      </w:pPr>
    </w:p>
    <w:p w14:paraId="20E2EF32" w14:textId="3AB6AA7A" w:rsidR="00492810" w:rsidRPr="00443329" w:rsidRDefault="00492810" w:rsidP="00ED1B54">
      <w:pPr>
        <w:pStyle w:val="TITULOINEC"/>
        <w:numPr>
          <w:ilvl w:val="0"/>
          <w:numId w:val="33"/>
        </w:numPr>
        <w:jc w:val="left"/>
      </w:pPr>
      <w:bookmarkStart w:id="230" w:name="_Toc53757447"/>
      <w:r w:rsidRPr="00443329">
        <w:t>ANÁLISIS</w:t>
      </w:r>
      <w:bookmarkEnd w:id="230"/>
    </w:p>
    <w:p w14:paraId="3CFF235C" w14:textId="77777777" w:rsidR="00492810" w:rsidRPr="00443329" w:rsidRDefault="00492810" w:rsidP="00492810">
      <w:pPr>
        <w:pStyle w:val="Sinespaciado"/>
        <w:rPr>
          <w:rFonts w:ascii="Century Gothic" w:hAnsi="Century Gothic"/>
          <w:sz w:val="24"/>
        </w:rPr>
      </w:pPr>
    </w:p>
    <w:p w14:paraId="22FC643A" w14:textId="77777777" w:rsidR="00492810" w:rsidRDefault="00492810" w:rsidP="004433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 xml:space="preserve">En esta fase se especifica la evaluación realizada a la información construida del DIEE y la respectiva interpretación de resultados de esta operación estadística. </w:t>
      </w:r>
    </w:p>
    <w:p w14:paraId="479DDCD0" w14:textId="5153030D" w:rsidR="00736A29" w:rsidRPr="00527E0F" w:rsidRDefault="00736A29" w:rsidP="00492810">
      <w:pPr>
        <w:rPr>
          <w:rFonts w:ascii="Century Gothic" w:hAnsi="Century Gothic" w:cs="Arial"/>
          <w:color w:val="595959" w:themeColor="text1" w:themeTint="A6"/>
          <w:lang w:eastAsia="es-EC"/>
        </w:rPr>
      </w:pPr>
    </w:p>
    <w:p w14:paraId="0E2CE5F1" w14:textId="77777777" w:rsidR="00492810" w:rsidRPr="00176DC8" w:rsidRDefault="00492810" w:rsidP="00ED1B54">
      <w:pPr>
        <w:pStyle w:val="SUBTITULOINEC"/>
        <w:numPr>
          <w:ilvl w:val="1"/>
          <w:numId w:val="33"/>
        </w:numPr>
        <w:jc w:val="left"/>
        <w:rPr>
          <w:sz w:val="32"/>
          <w:szCs w:val="32"/>
        </w:rPr>
      </w:pPr>
      <w:bookmarkStart w:id="231" w:name="_Toc53757448"/>
      <w:r w:rsidRPr="00176DC8">
        <w:rPr>
          <w:sz w:val="32"/>
          <w:szCs w:val="32"/>
        </w:rPr>
        <w:t>Evaluar resultados</w:t>
      </w:r>
      <w:bookmarkEnd w:id="231"/>
    </w:p>
    <w:p w14:paraId="6B7E01E0" w14:textId="7E9DBA6E" w:rsidR="00492810" w:rsidRDefault="00492810" w:rsidP="00736A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Una vez se cuenta con la información final correspondiente a las empresas y establecimientos para el 20</w:t>
      </w:r>
      <w:r w:rsidR="00C96CE4">
        <w:rPr>
          <w:rFonts w:ascii="Century Gothic" w:hAnsi="Century Gothic" w:cs="Arial"/>
          <w:color w:val="595959" w:themeColor="text1" w:themeTint="A6"/>
          <w:lang w:eastAsia="es-EC"/>
        </w:rPr>
        <w:t>2</w:t>
      </w:r>
      <w:r w:rsidR="00BA038B">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 es preciso establecer la coherencia y pertinencia de los datos obtenidos.</w:t>
      </w:r>
    </w:p>
    <w:p w14:paraId="149DECDD" w14:textId="77777777" w:rsidR="00BA038B" w:rsidRDefault="00BA038B" w:rsidP="00736A29">
      <w:pPr>
        <w:jc w:val="both"/>
        <w:rPr>
          <w:rFonts w:ascii="Century Gothic" w:hAnsi="Century Gothic" w:cs="Arial"/>
          <w:color w:val="595959" w:themeColor="text1" w:themeTint="A6"/>
          <w:lang w:eastAsia="es-EC"/>
        </w:rPr>
      </w:pPr>
    </w:p>
    <w:p w14:paraId="5C1AD879" w14:textId="45761B61" w:rsidR="00492810" w:rsidRDefault="00492810" w:rsidP="00736A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 xml:space="preserve">Por este motivo, se realiza la comparación de los resultados de las principales variables: ventas, personal ocupado afiliado medido en términos de plazas de empleo y remuneraciones. Estos resultados se compararon con información publicada por otras instituciones y/u operaciones estadísticas como la Superintendencia de Compañías, Servicio de Rentas Internas, Banco Central y </w:t>
      </w:r>
      <w:r w:rsidR="005D4BA4">
        <w:rPr>
          <w:rFonts w:ascii="Century Gothic" w:hAnsi="Century Gothic" w:cs="Arial"/>
          <w:color w:val="595959" w:themeColor="text1" w:themeTint="A6"/>
          <w:lang w:eastAsia="es-EC"/>
        </w:rPr>
        <w:t xml:space="preserve">Registro de Empleo en la Seguridad Social </w:t>
      </w:r>
      <w:r w:rsidRPr="00527E0F">
        <w:rPr>
          <w:rFonts w:ascii="Century Gothic" w:hAnsi="Century Gothic" w:cs="Arial"/>
          <w:color w:val="595959" w:themeColor="text1" w:themeTint="A6"/>
          <w:lang w:eastAsia="es-EC"/>
        </w:rPr>
        <w:t>del INEC</w:t>
      </w:r>
      <w:r w:rsidR="00B073C4">
        <w:rPr>
          <w:rFonts w:ascii="Century Gothic" w:hAnsi="Century Gothic" w:cs="Arial"/>
          <w:color w:val="595959" w:themeColor="text1" w:themeTint="A6"/>
          <w:lang w:eastAsia="es-EC"/>
        </w:rPr>
        <w:t>,</w:t>
      </w:r>
      <w:r w:rsidRPr="00527E0F">
        <w:rPr>
          <w:rFonts w:ascii="Century Gothic" w:hAnsi="Century Gothic" w:cs="Arial"/>
          <w:color w:val="595959" w:themeColor="text1" w:themeTint="A6"/>
          <w:lang w:eastAsia="es-EC"/>
        </w:rPr>
        <w:t xml:space="preserve"> a fin de evidenciar si el comportamiento de los datos es consistente y responde a la realidad económica nacional.</w:t>
      </w:r>
    </w:p>
    <w:p w14:paraId="50788ADC" w14:textId="77777777" w:rsidR="00970248" w:rsidRDefault="00970248" w:rsidP="00736A29">
      <w:pPr>
        <w:jc w:val="both"/>
        <w:rPr>
          <w:rFonts w:ascii="Century Gothic" w:hAnsi="Century Gothic" w:cs="Arial"/>
          <w:color w:val="595959" w:themeColor="text1" w:themeTint="A6"/>
          <w:lang w:eastAsia="es-EC"/>
        </w:rPr>
      </w:pPr>
    </w:p>
    <w:p w14:paraId="0CEF7B98" w14:textId="78A8F564" w:rsidR="00492810" w:rsidRPr="00176DC8" w:rsidRDefault="00492810" w:rsidP="00ED1B54">
      <w:pPr>
        <w:pStyle w:val="SUBTITULOINEC"/>
        <w:numPr>
          <w:ilvl w:val="1"/>
          <w:numId w:val="33"/>
        </w:numPr>
        <w:jc w:val="left"/>
        <w:rPr>
          <w:sz w:val="32"/>
          <w:szCs w:val="32"/>
        </w:rPr>
      </w:pPr>
      <w:bookmarkStart w:id="232" w:name="_Toc53757449"/>
      <w:r w:rsidRPr="00176DC8">
        <w:rPr>
          <w:sz w:val="32"/>
          <w:szCs w:val="32"/>
        </w:rPr>
        <w:t>Interpretar y explicar los resultados</w:t>
      </w:r>
      <w:bookmarkEnd w:id="232"/>
    </w:p>
    <w:p w14:paraId="5A651D54" w14:textId="1BA7D81F" w:rsidR="00492810" w:rsidRPr="00F7441C" w:rsidRDefault="00492810" w:rsidP="00F7441C">
      <w:pPr>
        <w:pStyle w:val="Sinespaciado"/>
        <w:spacing w:before="240"/>
        <w:jc w:val="both"/>
        <w:rPr>
          <w:rFonts w:ascii="Century Gothic" w:hAnsi="Century Gothic" w:cs="Arial"/>
          <w:color w:val="595959" w:themeColor="text1" w:themeTint="A6"/>
          <w:sz w:val="24"/>
          <w:szCs w:val="24"/>
          <w:lang w:eastAsia="es-EC"/>
        </w:rPr>
      </w:pPr>
      <w:r w:rsidRPr="00F7441C">
        <w:rPr>
          <w:rFonts w:ascii="Century Gothic" w:hAnsi="Century Gothic" w:cs="Arial"/>
          <w:color w:val="595959" w:themeColor="text1" w:themeTint="A6"/>
          <w:sz w:val="24"/>
          <w:szCs w:val="24"/>
          <w:lang w:eastAsia="es-EC"/>
        </w:rPr>
        <w:t xml:space="preserve">La información que se obtiene del Directorio de Empresas y Establecimientos pasa por análisis descriptivos, evolutivos, económicos y comparativos. En estos análisis se verifica la coherencia de los datos, identificando si los resultados obtenidos mantienen la tendencia registrada en años anteriores. De igual </w:t>
      </w:r>
      <w:r w:rsidR="00251ECD" w:rsidRPr="00F7441C">
        <w:rPr>
          <w:rFonts w:ascii="Century Gothic" w:hAnsi="Century Gothic" w:cs="Arial"/>
          <w:color w:val="595959" w:themeColor="text1" w:themeTint="A6"/>
          <w:sz w:val="24"/>
          <w:szCs w:val="24"/>
          <w:lang w:eastAsia="es-EC"/>
        </w:rPr>
        <w:t>manera</w:t>
      </w:r>
      <w:r w:rsidR="00251ECD">
        <w:rPr>
          <w:rFonts w:ascii="Century Gothic" w:hAnsi="Century Gothic" w:cs="Arial"/>
          <w:color w:val="595959" w:themeColor="text1" w:themeTint="A6"/>
          <w:sz w:val="24"/>
          <w:szCs w:val="24"/>
          <w:lang w:eastAsia="es-EC"/>
        </w:rPr>
        <w:t>,</w:t>
      </w:r>
      <w:r w:rsidR="00251ECD" w:rsidRPr="00F7441C">
        <w:rPr>
          <w:rFonts w:ascii="Century Gothic" w:hAnsi="Century Gothic" w:cs="Arial"/>
          <w:color w:val="595959" w:themeColor="text1" w:themeTint="A6"/>
          <w:sz w:val="24"/>
          <w:szCs w:val="24"/>
          <w:lang w:eastAsia="es-EC"/>
        </w:rPr>
        <w:t xml:space="preserve"> los</w:t>
      </w:r>
      <w:r w:rsidRPr="00F7441C">
        <w:rPr>
          <w:rFonts w:ascii="Century Gothic" w:hAnsi="Century Gothic" w:cs="Arial"/>
          <w:color w:val="595959" w:themeColor="text1" w:themeTint="A6"/>
          <w:sz w:val="24"/>
          <w:szCs w:val="24"/>
          <w:lang w:eastAsia="es-EC"/>
        </w:rPr>
        <w:t xml:space="preserve"> análisis económicos y </w:t>
      </w:r>
      <w:r w:rsidR="00251ECD" w:rsidRPr="00F7441C">
        <w:rPr>
          <w:rFonts w:ascii="Century Gothic" w:hAnsi="Century Gothic" w:cs="Arial"/>
          <w:color w:val="595959" w:themeColor="text1" w:themeTint="A6"/>
          <w:sz w:val="24"/>
          <w:szCs w:val="24"/>
          <w:lang w:eastAsia="es-EC"/>
        </w:rPr>
        <w:t>comparativos, permiten</w:t>
      </w:r>
      <w:r w:rsidRPr="00F7441C">
        <w:rPr>
          <w:rFonts w:ascii="Century Gothic" w:hAnsi="Century Gothic" w:cs="Arial"/>
          <w:color w:val="595959" w:themeColor="text1" w:themeTint="A6"/>
          <w:sz w:val="24"/>
          <w:szCs w:val="24"/>
          <w:lang w:eastAsia="es-EC"/>
        </w:rPr>
        <w:t xml:space="preserve"> identificar si las principales variables muestran la realidad del país y registran un comportamiento esperado.</w:t>
      </w:r>
    </w:p>
    <w:p w14:paraId="742318AC" w14:textId="77777777" w:rsidR="00492810" w:rsidRPr="00F7441C" w:rsidRDefault="00492810" w:rsidP="00F7441C">
      <w:pPr>
        <w:pStyle w:val="Sinespaciado"/>
        <w:jc w:val="both"/>
        <w:rPr>
          <w:rFonts w:ascii="Century Gothic" w:hAnsi="Century Gothic" w:cs="Arial"/>
          <w:color w:val="595959" w:themeColor="text1" w:themeTint="A6"/>
          <w:sz w:val="24"/>
          <w:szCs w:val="24"/>
          <w:lang w:eastAsia="es-EC"/>
        </w:rPr>
      </w:pPr>
    </w:p>
    <w:p w14:paraId="58F97EC0" w14:textId="77777777" w:rsidR="00932569" w:rsidRPr="00F7441C" w:rsidRDefault="00492810" w:rsidP="00F7441C">
      <w:pPr>
        <w:pStyle w:val="Sinespaciado"/>
        <w:jc w:val="both"/>
        <w:rPr>
          <w:rFonts w:ascii="Century Gothic" w:hAnsi="Century Gothic" w:cs="Arial"/>
          <w:color w:val="595959" w:themeColor="text1" w:themeTint="A6"/>
          <w:sz w:val="24"/>
          <w:szCs w:val="24"/>
          <w:lang w:eastAsia="es-EC"/>
        </w:rPr>
      </w:pPr>
      <w:r w:rsidRPr="00F7441C">
        <w:rPr>
          <w:rFonts w:ascii="Century Gothic" w:hAnsi="Century Gothic" w:cs="Arial"/>
          <w:color w:val="595959" w:themeColor="text1" w:themeTint="A6"/>
          <w:sz w:val="24"/>
          <w:szCs w:val="24"/>
          <w:lang w:eastAsia="es-EC"/>
        </w:rPr>
        <w:t>Como consecuencia de ello se tiene una base de datos validada, a partir de la cual se elaboran los principales resultados, tabulados y el presente documento metodológico.</w:t>
      </w:r>
    </w:p>
    <w:p w14:paraId="39DF7FD6" w14:textId="77777777" w:rsidR="00932569" w:rsidRPr="00F7441C" w:rsidRDefault="00932569" w:rsidP="00F7441C">
      <w:pPr>
        <w:pStyle w:val="Sinespaciado"/>
        <w:jc w:val="both"/>
        <w:rPr>
          <w:rFonts w:ascii="Century Gothic" w:hAnsi="Century Gothic" w:cs="Arial"/>
          <w:color w:val="595959" w:themeColor="text1" w:themeTint="A6"/>
          <w:sz w:val="24"/>
          <w:szCs w:val="24"/>
          <w:lang w:eastAsia="es-EC"/>
        </w:rPr>
      </w:pPr>
    </w:p>
    <w:p w14:paraId="1A472723" w14:textId="76807A44" w:rsidR="00492810" w:rsidRPr="00F7441C" w:rsidRDefault="00492810" w:rsidP="00F7441C">
      <w:pPr>
        <w:pStyle w:val="Sinespaciado"/>
        <w:jc w:val="both"/>
        <w:rPr>
          <w:rFonts w:ascii="Century Gothic" w:hAnsi="Century Gothic" w:cs="Arial"/>
          <w:color w:val="595959" w:themeColor="text1" w:themeTint="A6"/>
          <w:sz w:val="24"/>
          <w:szCs w:val="24"/>
          <w:lang w:eastAsia="es-EC"/>
        </w:rPr>
      </w:pPr>
      <w:r w:rsidRPr="00F7441C">
        <w:rPr>
          <w:rFonts w:ascii="Century Gothic" w:hAnsi="Century Gothic" w:cs="Arial"/>
          <w:color w:val="595959" w:themeColor="text1" w:themeTint="A6"/>
          <w:sz w:val="24"/>
          <w:szCs w:val="24"/>
          <w:lang w:eastAsia="es-EC"/>
        </w:rPr>
        <w:t xml:space="preserve">Los resultados del DIEE se presentan al público a través de la página web www.ecuadorencifras.gob.ec y a través de los aplicativos exclusivos diseñados para una mejor visualización de los resultados. </w:t>
      </w:r>
    </w:p>
    <w:p w14:paraId="36B532B2" w14:textId="77777777" w:rsidR="00492810" w:rsidRPr="00443329" w:rsidRDefault="00492810" w:rsidP="00492810">
      <w:pPr>
        <w:pStyle w:val="Sinespaciado"/>
        <w:rPr>
          <w:rFonts w:ascii="Century Gothic" w:hAnsi="Century Gothic"/>
          <w:sz w:val="24"/>
        </w:rPr>
      </w:pPr>
    </w:p>
    <w:p w14:paraId="6066AD5B" w14:textId="04DAFE35" w:rsidR="00492810" w:rsidRPr="00176DC8" w:rsidRDefault="00492810" w:rsidP="00ED1B54">
      <w:pPr>
        <w:pStyle w:val="SUBTITULOINEC"/>
        <w:numPr>
          <w:ilvl w:val="1"/>
          <w:numId w:val="33"/>
        </w:numPr>
        <w:jc w:val="left"/>
        <w:rPr>
          <w:sz w:val="32"/>
          <w:szCs w:val="32"/>
        </w:rPr>
      </w:pPr>
      <w:bookmarkStart w:id="233" w:name="_Toc53757450"/>
      <w:r w:rsidRPr="00176DC8">
        <w:rPr>
          <w:sz w:val="32"/>
          <w:szCs w:val="32"/>
        </w:rPr>
        <w:t>Aplicar el control de difusión</w:t>
      </w:r>
      <w:bookmarkEnd w:id="233"/>
      <w:r w:rsidRPr="00176DC8">
        <w:rPr>
          <w:sz w:val="32"/>
          <w:szCs w:val="32"/>
        </w:rPr>
        <w:t xml:space="preserve"> </w:t>
      </w:r>
    </w:p>
    <w:p w14:paraId="5E155BF7" w14:textId="557AF326" w:rsidR="00492810" w:rsidRDefault="00492810" w:rsidP="00736A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 xml:space="preserve">Para la publicación de las bases de datos es necesario eliminar las variables que permitan la identificación de las empresas (ruc, razón social, nombre comercial, direcciones, contactos), a fin de precautelar la confidencialidad del dato. Sin embargo, la base de datos publicada cuenta con un identificador de empresa (anónimo), el cual permite realizar cruces de información con otras bases de datos relacionadas con la temática empresarial y económica producidas en el INEC. </w:t>
      </w:r>
    </w:p>
    <w:p w14:paraId="772BBA65" w14:textId="77777777" w:rsidR="001C1FE5" w:rsidRDefault="001C1FE5" w:rsidP="00736A29">
      <w:pPr>
        <w:jc w:val="both"/>
        <w:rPr>
          <w:rFonts w:ascii="Century Gothic" w:hAnsi="Century Gothic" w:cs="Arial"/>
          <w:color w:val="595959" w:themeColor="text1" w:themeTint="A6"/>
          <w:lang w:eastAsia="es-EC"/>
        </w:rPr>
      </w:pPr>
    </w:p>
    <w:p w14:paraId="7475FFC0" w14:textId="1F0A2810" w:rsidR="00492810" w:rsidRDefault="00492810" w:rsidP="00736A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De igual manera, la búsqueda de información en el aplicativo web permite el acceso a datos de manera agregada para cada una de las variables principales (número de empresas, ventas</w:t>
      </w:r>
      <w:r w:rsidR="00793B6F">
        <w:rPr>
          <w:rFonts w:ascii="Century Gothic" w:hAnsi="Century Gothic" w:cs="Arial"/>
          <w:color w:val="595959" w:themeColor="text1" w:themeTint="A6"/>
          <w:lang w:eastAsia="es-EC"/>
        </w:rPr>
        <w:t xml:space="preserve"> y</w:t>
      </w:r>
      <w:r w:rsidRPr="00527E0F">
        <w:rPr>
          <w:rFonts w:ascii="Century Gothic" w:hAnsi="Century Gothic" w:cs="Arial"/>
          <w:color w:val="595959" w:themeColor="text1" w:themeTint="A6"/>
          <w:lang w:eastAsia="es-EC"/>
        </w:rPr>
        <w:t xml:space="preserve"> plazas de empleo).</w:t>
      </w:r>
    </w:p>
    <w:p w14:paraId="20776645" w14:textId="77777777" w:rsidR="00B10D09" w:rsidRPr="00527E0F" w:rsidRDefault="00B10D09" w:rsidP="00B10D09">
      <w:pPr>
        <w:jc w:val="both"/>
        <w:rPr>
          <w:rFonts w:ascii="Century Gothic" w:hAnsi="Century Gothic" w:cs="Arial"/>
          <w:color w:val="595959" w:themeColor="text1" w:themeTint="A6"/>
          <w:lang w:eastAsia="es-EC"/>
        </w:rPr>
      </w:pPr>
    </w:p>
    <w:p w14:paraId="6DE14D9A" w14:textId="77777777" w:rsidR="00492810" w:rsidRPr="00443329" w:rsidRDefault="00492810" w:rsidP="00736A29">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De esta manera se da cumplimiento a lo establecido en el artículo 21 de la Ley de Estadística, que prohíbe la difusión de información individualizada para casos distintos a un propósito estadístico.</w:t>
      </w:r>
    </w:p>
    <w:p w14:paraId="776AF9AA" w14:textId="77777777" w:rsidR="00492810" w:rsidRPr="00443329" w:rsidRDefault="00492810" w:rsidP="00492810">
      <w:pPr>
        <w:pStyle w:val="Sinespaciado"/>
        <w:rPr>
          <w:rFonts w:ascii="Century Gothic" w:hAnsi="Century Gothic"/>
          <w:sz w:val="24"/>
        </w:rPr>
      </w:pPr>
    </w:p>
    <w:p w14:paraId="5DF8DE2D" w14:textId="6056FAEA" w:rsidR="00492810" w:rsidRPr="00443329" w:rsidRDefault="00492810" w:rsidP="00ED1B54">
      <w:pPr>
        <w:pStyle w:val="TITULOINEC"/>
        <w:numPr>
          <w:ilvl w:val="0"/>
          <w:numId w:val="33"/>
        </w:numPr>
        <w:jc w:val="left"/>
      </w:pPr>
      <w:bookmarkStart w:id="234" w:name="_Toc53757451"/>
      <w:r w:rsidRPr="00443329">
        <w:t>DIFUSIÓN</w:t>
      </w:r>
      <w:bookmarkEnd w:id="234"/>
    </w:p>
    <w:p w14:paraId="2F704216" w14:textId="0F84D560" w:rsidR="00492810" w:rsidRDefault="00492810" w:rsidP="00736A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En este ítem se especifica la generación de productos de difusión, promoción y presentación de resultados a los usuarios de la información. Gran parte de las actividades mencionadas en este apartado, son ejecutadas conjuntamente con la Dirección de Comunicación Social del INEC.</w:t>
      </w:r>
    </w:p>
    <w:p w14:paraId="79D6B64A" w14:textId="77777777" w:rsidR="00251ECD" w:rsidRDefault="00251ECD" w:rsidP="00736A29">
      <w:pPr>
        <w:spacing w:before="240"/>
        <w:jc w:val="both"/>
        <w:rPr>
          <w:rFonts w:ascii="Century Gothic" w:hAnsi="Century Gothic" w:cs="Arial"/>
          <w:color w:val="595959" w:themeColor="text1" w:themeTint="A6"/>
          <w:lang w:eastAsia="es-EC"/>
        </w:rPr>
      </w:pPr>
    </w:p>
    <w:p w14:paraId="00A40263" w14:textId="03E4BDAD" w:rsidR="00492810" w:rsidRDefault="00492810" w:rsidP="00ED1B54">
      <w:pPr>
        <w:pStyle w:val="SUBTITULOINEC"/>
        <w:numPr>
          <w:ilvl w:val="1"/>
          <w:numId w:val="33"/>
        </w:numPr>
        <w:jc w:val="left"/>
        <w:rPr>
          <w:sz w:val="32"/>
          <w:szCs w:val="32"/>
        </w:rPr>
      </w:pPr>
      <w:bookmarkStart w:id="235" w:name="_Toc53757452"/>
      <w:r w:rsidRPr="00176DC8">
        <w:rPr>
          <w:sz w:val="32"/>
          <w:szCs w:val="32"/>
        </w:rPr>
        <w:t>Productos de difusión</w:t>
      </w:r>
      <w:bookmarkEnd w:id="235"/>
    </w:p>
    <w:p w14:paraId="0EF93273" w14:textId="77777777" w:rsidR="00251ECD" w:rsidRPr="00176DC8" w:rsidRDefault="00251ECD" w:rsidP="00251ECD">
      <w:pPr>
        <w:pStyle w:val="SUBTITULOINEC"/>
        <w:ind w:left="1080"/>
        <w:jc w:val="left"/>
        <w:rPr>
          <w:sz w:val="32"/>
          <w:szCs w:val="32"/>
        </w:rPr>
      </w:pPr>
    </w:p>
    <w:p w14:paraId="17A003C3" w14:textId="63AFBF2F" w:rsidR="00583347" w:rsidRDefault="00492810" w:rsidP="00251ECD">
      <w:pPr>
        <w:pStyle w:val="Sinespaciad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Los productos estadísticos generados a partir la base de datos del Directorio de Empresas 20</w:t>
      </w:r>
      <w:r w:rsidR="00C96CE4">
        <w:rPr>
          <w:rFonts w:ascii="Century Gothic" w:hAnsi="Century Gothic"/>
          <w:color w:val="595959" w:themeColor="text1" w:themeTint="A6"/>
          <w:sz w:val="24"/>
        </w:rPr>
        <w:t>2</w:t>
      </w:r>
      <w:r w:rsidR="00A34467">
        <w:rPr>
          <w:rFonts w:ascii="Century Gothic" w:hAnsi="Century Gothic"/>
          <w:color w:val="595959" w:themeColor="text1" w:themeTint="A6"/>
          <w:sz w:val="24"/>
        </w:rPr>
        <w:t>1</w:t>
      </w:r>
      <w:r w:rsidRPr="00443329">
        <w:rPr>
          <w:rFonts w:ascii="Century Gothic" w:hAnsi="Century Gothic"/>
          <w:color w:val="595959" w:themeColor="text1" w:themeTint="A6"/>
          <w:sz w:val="24"/>
        </w:rPr>
        <w:t>, y que permiten conocer los principales resultados, se encuentran a disposición del público en la página web institucional del INEC, estos son:</w:t>
      </w:r>
      <w:r w:rsidRPr="00443329">
        <w:rPr>
          <w:rStyle w:val="Refdenotaalpie"/>
          <w:rFonts w:ascii="Century Gothic" w:hAnsi="Century Gothic"/>
          <w:sz w:val="24"/>
        </w:rPr>
        <w:t xml:space="preserve"> </w:t>
      </w:r>
    </w:p>
    <w:p w14:paraId="70BCFE25" w14:textId="77777777" w:rsidR="00583347" w:rsidRDefault="00583347" w:rsidP="00492810">
      <w:pPr>
        <w:pStyle w:val="Sinespaciado"/>
        <w:rPr>
          <w:rFonts w:ascii="Century Gothic" w:hAnsi="Century Gothic"/>
          <w:color w:val="595959" w:themeColor="text1" w:themeTint="A6"/>
          <w:sz w:val="24"/>
        </w:rPr>
      </w:pPr>
    </w:p>
    <w:p w14:paraId="3AA82E93" w14:textId="684651F4" w:rsidR="00492810" w:rsidRPr="00443329" w:rsidRDefault="00492810" w:rsidP="00492810">
      <w:pPr>
        <w:pStyle w:val="Descripcin"/>
        <w:spacing w:after="0" w:line="276" w:lineRule="auto"/>
        <w:jc w:val="left"/>
        <w:rPr>
          <w:rFonts w:ascii="Century Gothic" w:hAnsi="Century Gothic"/>
          <w:color w:val="595959" w:themeColor="text1" w:themeTint="A6"/>
          <w:sz w:val="24"/>
        </w:rPr>
      </w:pPr>
      <w:bookmarkStart w:id="236" w:name="_Toc117591186"/>
      <w:r w:rsidRPr="00443329">
        <w:rPr>
          <w:rFonts w:ascii="Century Gothic" w:hAnsi="Century Gothic"/>
          <w:color w:val="595959" w:themeColor="text1" w:themeTint="A6"/>
          <w:sz w:val="24"/>
        </w:rPr>
        <w:t xml:space="preserve">Tabla </w:t>
      </w:r>
      <w:r w:rsidRPr="00443329">
        <w:rPr>
          <w:rFonts w:ascii="Century Gothic" w:hAnsi="Century Gothic"/>
          <w:sz w:val="24"/>
        </w:rPr>
        <w:fldChar w:fldCharType="begin"/>
      </w:r>
      <w:r w:rsidRPr="00443329">
        <w:rPr>
          <w:rFonts w:ascii="Century Gothic" w:hAnsi="Century Gothic"/>
          <w:color w:val="595959" w:themeColor="text1" w:themeTint="A6"/>
          <w:sz w:val="24"/>
        </w:rPr>
        <w:instrText xml:space="preserve"> SEQ Tabla \* ARABIC </w:instrText>
      </w:r>
      <w:r w:rsidRPr="00443329">
        <w:rPr>
          <w:rFonts w:ascii="Century Gothic" w:hAnsi="Century Gothic"/>
          <w:sz w:val="24"/>
        </w:rPr>
        <w:fldChar w:fldCharType="separate"/>
      </w:r>
      <w:r w:rsidR="004E3F87">
        <w:rPr>
          <w:rFonts w:ascii="Century Gothic" w:hAnsi="Century Gothic"/>
          <w:noProof/>
          <w:color w:val="595959" w:themeColor="text1" w:themeTint="A6"/>
          <w:sz w:val="24"/>
        </w:rPr>
        <w:t>10</w:t>
      </w:r>
      <w:r w:rsidRPr="00443329">
        <w:rPr>
          <w:rFonts w:ascii="Century Gothic" w:hAnsi="Century Gothic"/>
          <w:sz w:val="24"/>
        </w:rPr>
        <w:fldChar w:fldCharType="end"/>
      </w:r>
      <w:r w:rsidRPr="00443329">
        <w:rPr>
          <w:rFonts w:ascii="Century Gothic" w:hAnsi="Century Gothic"/>
          <w:color w:val="595959" w:themeColor="text1" w:themeTint="A6"/>
          <w:sz w:val="24"/>
        </w:rPr>
        <w:t xml:space="preserve">. </w:t>
      </w:r>
      <w:r w:rsidRPr="00443329">
        <w:rPr>
          <w:rFonts w:ascii="Century Gothic" w:hAnsi="Century Gothic"/>
          <w:b w:val="0"/>
          <w:color w:val="595959" w:themeColor="text1" w:themeTint="A6"/>
          <w:sz w:val="24"/>
        </w:rPr>
        <w:t>Listado de productos del Directorio de Empresas</w:t>
      </w:r>
      <w:bookmarkEnd w:id="236"/>
    </w:p>
    <w:tbl>
      <w:tblPr>
        <w:tblW w:w="8020" w:type="dxa"/>
        <w:tblInd w:w="55" w:type="dxa"/>
        <w:tblCellMar>
          <w:left w:w="70" w:type="dxa"/>
          <w:right w:w="70" w:type="dxa"/>
        </w:tblCellMar>
        <w:tblLook w:val="04A0" w:firstRow="1" w:lastRow="0" w:firstColumn="1" w:lastColumn="0" w:noHBand="0" w:noVBand="1"/>
      </w:tblPr>
      <w:tblGrid>
        <w:gridCol w:w="2634"/>
        <w:gridCol w:w="3543"/>
        <w:gridCol w:w="1843"/>
      </w:tblGrid>
      <w:tr w:rsidR="00CF0C1E" w:rsidRPr="00527E0F" w14:paraId="1BF6FC4C" w14:textId="77777777" w:rsidTr="005B78BB">
        <w:trPr>
          <w:trHeight w:val="503"/>
          <w:tblHeader/>
        </w:trPr>
        <w:tc>
          <w:tcPr>
            <w:tcW w:w="2634" w:type="dxa"/>
            <w:tcBorders>
              <w:top w:val="single" w:sz="4" w:space="0" w:color="auto"/>
              <w:left w:val="single" w:sz="4" w:space="0" w:color="auto"/>
              <w:bottom w:val="single" w:sz="4" w:space="0" w:color="auto"/>
              <w:right w:val="single" w:sz="4" w:space="0" w:color="auto"/>
            </w:tcBorders>
            <w:shd w:val="clear" w:color="000000" w:fill="244061"/>
            <w:vAlign w:val="center"/>
            <w:hideMark/>
          </w:tcPr>
          <w:p w14:paraId="610F9AB9" w14:textId="77777777" w:rsidR="00492810" w:rsidRPr="00443329" w:rsidRDefault="00492810" w:rsidP="00CF0C1E">
            <w:pPr>
              <w:jc w:val="center"/>
              <w:rPr>
                <w:rFonts w:ascii="Century Gothic" w:hAnsi="Century Gothic"/>
                <w:b/>
                <w:color w:val="FFFFFF"/>
                <w:lang w:val="es-ES"/>
              </w:rPr>
            </w:pPr>
            <w:r w:rsidRPr="00443329">
              <w:rPr>
                <w:rFonts w:ascii="Century Gothic" w:hAnsi="Century Gothic"/>
                <w:b/>
                <w:color w:val="FFFFFF"/>
              </w:rPr>
              <w:t>Producto</w:t>
            </w:r>
          </w:p>
        </w:tc>
        <w:tc>
          <w:tcPr>
            <w:tcW w:w="3543" w:type="dxa"/>
            <w:tcBorders>
              <w:top w:val="single" w:sz="4" w:space="0" w:color="auto"/>
              <w:left w:val="nil"/>
              <w:bottom w:val="single" w:sz="4" w:space="0" w:color="auto"/>
              <w:right w:val="single" w:sz="4" w:space="0" w:color="auto"/>
            </w:tcBorders>
            <w:shd w:val="clear" w:color="000000" w:fill="244061"/>
            <w:vAlign w:val="center"/>
            <w:hideMark/>
          </w:tcPr>
          <w:p w14:paraId="2EAFA125" w14:textId="77777777" w:rsidR="00492810" w:rsidRPr="00443329" w:rsidRDefault="00492810" w:rsidP="00CF0C1E">
            <w:pPr>
              <w:jc w:val="center"/>
              <w:rPr>
                <w:rFonts w:ascii="Century Gothic" w:hAnsi="Century Gothic"/>
                <w:b/>
                <w:color w:val="FFFFFF"/>
                <w:szCs w:val="22"/>
                <w:lang w:val="es-ES"/>
              </w:rPr>
            </w:pPr>
            <w:r w:rsidRPr="00443329">
              <w:rPr>
                <w:rFonts w:ascii="Century Gothic" w:hAnsi="Century Gothic"/>
                <w:b/>
                <w:color w:val="FFFFFF"/>
              </w:rPr>
              <w:t>Contenido general</w:t>
            </w:r>
          </w:p>
        </w:tc>
        <w:tc>
          <w:tcPr>
            <w:tcW w:w="1843" w:type="dxa"/>
            <w:tcBorders>
              <w:top w:val="single" w:sz="4" w:space="0" w:color="auto"/>
              <w:left w:val="nil"/>
              <w:bottom w:val="single" w:sz="4" w:space="0" w:color="auto"/>
              <w:right w:val="single" w:sz="4" w:space="0" w:color="auto"/>
            </w:tcBorders>
            <w:shd w:val="clear" w:color="000000" w:fill="244061"/>
            <w:vAlign w:val="center"/>
            <w:hideMark/>
          </w:tcPr>
          <w:p w14:paraId="22C5DE89" w14:textId="77777777" w:rsidR="00492810" w:rsidRPr="00443329" w:rsidRDefault="00492810" w:rsidP="00CF0C1E">
            <w:pPr>
              <w:jc w:val="center"/>
              <w:rPr>
                <w:rFonts w:ascii="Century Gothic" w:hAnsi="Century Gothic"/>
                <w:b/>
                <w:color w:val="FFFFFF"/>
                <w:szCs w:val="22"/>
                <w:lang w:val="es-ES"/>
              </w:rPr>
            </w:pPr>
            <w:r w:rsidRPr="00443329">
              <w:rPr>
                <w:rFonts w:ascii="Century Gothic" w:hAnsi="Century Gothic"/>
                <w:b/>
                <w:color w:val="FFFFFF"/>
              </w:rPr>
              <w:t>Información disponible</w:t>
            </w:r>
          </w:p>
        </w:tc>
      </w:tr>
      <w:tr w:rsidR="00CF0C1E" w:rsidRPr="00527E0F" w14:paraId="51B80014" w14:textId="77777777" w:rsidTr="005B78BB">
        <w:trPr>
          <w:trHeight w:val="532"/>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39B0DF"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Cuadro Resumen</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59433CDE"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Cuadro en el que se detallan los principales indicadores e índices del periodo de análisis.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0382F32F" w14:textId="1191D05B" w:rsidR="00492810" w:rsidRPr="00443329" w:rsidRDefault="00492810" w:rsidP="00C96CE4">
            <w:pPr>
              <w:jc w:val="center"/>
              <w:rPr>
                <w:rFonts w:ascii="Century Gothic" w:hAnsi="Century Gothic"/>
                <w:color w:val="595959"/>
                <w:szCs w:val="22"/>
                <w:lang w:val="es-ES"/>
              </w:rPr>
            </w:pPr>
            <w:r w:rsidRPr="00443329">
              <w:rPr>
                <w:rFonts w:ascii="Century Gothic" w:hAnsi="Century Gothic"/>
                <w:color w:val="595959"/>
              </w:rPr>
              <w:t>Año 20</w:t>
            </w:r>
            <w:r w:rsidR="00C96CE4">
              <w:rPr>
                <w:rFonts w:ascii="Century Gothic" w:hAnsi="Century Gothic"/>
                <w:color w:val="595959"/>
              </w:rPr>
              <w:t>2</w:t>
            </w:r>
            <w:r w:rsidR="00A34467">
              <w:rPr>
                <w:rFonts w:ascii="Century Gothic" w:hAnsi="Century Gothic"/>
                <w:color w:val="595959"/>
              </w:rPr>
              <w:t>1</w:t>
            </w:r>
          </w:p>
        </w:tc>
      </w:tr>
      <w:tr w:rsidR="00CF0C1E" w:rsidRPr="00527E0F" w14:paraId="2E0F27E0" w14:textId="77777777" w:rsidTr="005B78BB">
        <w:trPr>
          <w:trHeight w:val="532"/>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E7ED56"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Principales Resultados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4E88CF90"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Presentación en la que se demuestra los principales resultados obtenidos del Directorio de Empresas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718FA08D" w14:textId="5BC5F699" w:rsidR="00492810" w:rsidRPr="00443329" w:rsidRDefault="00492810" w:rsidP="00C96CE4">
            <w:pPr>
              <w:jc w:val="center"/>
              <w:rPr>
                <w:rFonts w:ascii="Century Gothic" w:hAnsi="Century Gothic"/>
                <w:color w:val="595959"/>
                <w:szCs w:val="22"/>
                <w:lang w:val="es-ES"/>
              </w:rPr>
            </w:pPr>
            <w:r w:rsidRPr="00443329">
              <w:rPr>
                <w:rFonts w:ascii="Century Gothic" w:hAnsi="Century Gothic"/>
                <w:color w:val="595959"/>
              </w:rPr>
              <w:t xml:space="preserve">Periodo 2012 </w:t>
            </w:r>
            <w:r w:rsidR="00A34467">
              <w:rPr>
                <w:rFonts w:ascii="Century Gothic" w:hAnsi="Century Gothic"/>
                <w:color w:val="595959"/>
              </w:rPr>
              <w:t>–</w:t>
            </w:r>
            <w:r w:rsidRPr="00443329">
              <w:rPr>
                <w:rFonts w:ascii="Century Gothic" w:hAnsi="Century Gothic"/>
                <w:color w:val="595959"/>
              </w:rPr>
              <w:t xml:space="preserve"> 20</w:t>
            </w:r>
            <w:r w:rsidR="00C96CE4">
              <w:rPr>
                <w:rFonts w:ascii="Century Gothic" w:hAnsi="Century Gothic"/>
                <w:color w:val="595959"/>
              </w:rPr>
              <w:t>2</w:t>
            </w:r>
            <w:r w:rsidR="00A34467">
              <w:rPr>
                <w:rFonts w:ascii="Century Gothic" w:hAnsi="Century Gothic"/>
                <w:color w:val="595959"/>
              </w:rPr>
              <w:t>1</w:t>
            </w:r>
          </w:p>
        </w:tc>
      </w:tr>
      <w:tr w:rsidR="00CF0C1E" w:rsidRPr="00527E0F" w14:paraId="2C955344" w14:textId="77777777" w:rsidTr="005B78BB">
        <w:trPr>
          <w:trHeight w:val="919"/>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799086"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Boletín Técnico del DIEE</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50AA177B" w14:textId="007C85DC" w:rsidR="00492810" w:rsidRPr="00443329" w:rsidRDefault="00492810" w:rsidP="0075365F">
            <w:pPr>
              <w:rPr>
                <w:rFonts w:ascii="Century Gothic" w:hAnsi="Century Gothic"/>
                <w:color w:val="595959"/>
                <w:szCs w:val="22"/>
                <w:lang w:val="es-ES"/>
              </w:rPr>
            </w:pPr>
            <w:r w:rsidRPr="00443329">
              <w:rPr>
                <w:rFonts w:ascii="Century Gothic" w:hAnsi="Century Gothic"/>
                <w:color w:val="595959"/>
              </w:rPr>
              <w:t xml:space="preserve">Documento que presenta de </w:t>
            </w:r>
            <w:r w:rsidR="00B10D09" w:rsidRPr="00B10D09">
              <w:rPr>
                <w:rFonts w:ascii="Century Gothic" w:hAnsi="Century Gothic"/>
                <w:color w:val="595959"/>
              </w:rPr>
              <w:t>una manera</w:t>
            </w:r>
            <w:r w:rsidRPr="00443329">
              <w:rPr>
                <w:rFonts w:ascii="Century Gothic" w:hAnsi="Century Gothic"/>
                <w:color w:val="595959"/>
              </w:rPr>
              <w:t xml:space="preserve"> más detallada los principales resultados del Directorio de Empresas y Establecimientos 20</w:t>
            </w:r>
            <w:r w:rsidR="0075365F">
              <w:rPr>
                <w:rFonts w:ascii="Century Gothic" w:hAnsi="Century Gothic"/>
                <w:color w:val="595959"/>
              </w:rPr>
              <w:t>2</w:t>
            </w:r>
            <w:r w:rsidR="00972215">
              <w:rPr>
                <w:rFonts w:ascii="Century Gothic" w:hAnsi="Century Gothic"/>
                <w:color w:val="595959"/>
              </w:rPr>
              <w:t>1</w:t>
            </w:r>
            <w:r w:rsidRPr="00443329">
              <w:rPr>
                <w:rFonts w:ascii="Century Gothic" w:hAnsi="Century Gothic"/>
                <w:color w:val="595959"/>
              </w:rPr>
              <w:t>, incluido los análisis descriptivos, comparativos y evolutivos.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2853A95E" w14:textId="08DFED50" w:rsidR="00492810" w:rsidRPr="00443329" w:rsidRDefault="00492810" w:rsidP="00C96CE4">
            <w:pPr>
              <w:jc w:val="center"/>
              <w:rPr>
                <w:rFonts w:ascii="Century Gothic" w:hAnsi="Century Gothic"/>
                <w:color w:val="595959"/>
                <w:szCs w:val="22"/>
                <w:lang w:val="es-ES"/>
              </w:rPr>
            </w:pPr>
            <w:r w:rsidRPr="00443329">
              <w:rPr>
                <w:rFonts w:ascii="Century Gothic" w:hAnsi="Century Gothic"/>
                <w:color w:val="595959"/>
              </w:rPr>
              <w:t>Año 20</w:t>
            </w:r>
            <w:r w:rsidR="00C96CE4">
              <w:rPr>
                <w:rFonts w:ascii="Century Gothic" w:hAnsi="Century Gothic"/>
                <w:color w:val="595959"/>
              </w:rPr>
              <w:t>2</w:t>
            </w:r>
            <w:r w:rsidR="00A34467">
              <w:rPr>
                <w:rFonts w:ascii="Century Gothic" w:hAnsi="Century Gothic"/>
                <w:color w:val="595959"/>
              </w:rPr>
              <w:t>1</w:t>
            </w:r>
          </w:p>
        </w:tc>
      </w:tr>
      <w:tr w:rsidR="00CF0C1E" w:rsidRPr="00527E0F" w14:paraId="5922E280" w14:textId="77777777" w:rsidTr="005B78BB">
        <w:trPr>
          <w:trHeight w:val="465"/>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A8228E"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Tabulados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08428D09"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Principales tabulados de la información disponible</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7C295806" w14:textId="6097E083" w:rsidR="00492810" w:rsidRPr="00443329" w:rsidRDefault="00492810" w:rsidP="00C96CE4">
            <w:pPr>
              <w:jc w:val="center"/>
              <w:rPr>
                <w:rFonts w:ascii="Century Gothic" w:hAnsi="Century Gothic"/>
                <w:color w:val="595959"/>
                <w:szCs w:val="22"/>
                <w:lang w:val="es-ES"/>
              </w:rPr>
            </w:pPr>
            <w:r w:rsidRPr="00443329">
              <w:rPr>
                <w:rFonts w:ascii="Century Gothic" w:hAnsi="Century Gothic"/>
                <w:color w:val="595959"/>
              </w:rPr>
              <w:t xml:space="preserve">Periodo 2012 </w:t>
            </w:r>
            <w:r w:rsidR="00A34467">
              <w:rPr>
                <w:rFonts w:ascii="Century Gothic" w:hAnsi="Century Gothic"/>
                <w:color w:val="595959"/>
              </w:rPr>
              <w:t>–</w:t>
            </w:r>
            <w:r w:rsidRPr="00443329">
              <w:rPr>
                <w:rFonts w:ascii="Century Gothic" w:hAnsi="Century Gothic"/>
                <w:color w:val="595959"/>
              </w:rPr>
              <w:t xml:space="preserve"> 20</w:t>
            </w:r>
            <w:r w:rsidR="00C96CE4">
              <w:rPr>
                <w:rFonts w:ascii="Century Gothic" w:hAnsi="Century Gothic"/>
                <w:color w:val="595959"/>
              </w:rPr>
              <w:t>2</w:t>
            </w:r>
            <w:r w:rsidR="00A34467">
              <w:rPr>
                <w:rFonts w:ascii="Century Gothic" w:hAnsi="Century Gothic"/>
                <w:color w:val="595959"/>
              </w:rPr>
              <w:t>1</w:t>
            </w:r>
          </w:p>
        </w:tc>
      </w:tr>
      <w:tr w:rsidR="00CF0C1E" w:rsidRPr="00527E0F" w14:paraId="0DAC3069" w14:textId="77777777" w:rsidTr="005B78BB">
        <w:trPr>
          <w:trHeight w:val="499"/>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584050"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Base de datos empresas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16A8018D"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Base de datos de empresas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46503273" w14:textId="1C51C4F4" w:rsidR="00492810" w:rsidRPr="00443329" w:rsidRDefault="00492810" w:rsidP="00C96CE4">
            <w:pPr>
              <w:jc w:val="center"/>
              <w:rPr>
                <w:rFonts w:ascii="Century Gothic" w:hAnsi="Century Gothic"/>
                <w:color w:val="595959"/>
                <w:szCs w:val="22"/>
                <w:lang w:val="es-ES"/>
              </w:rPr>
            </w:pPr>
            <w:r w:rsidRPr="00443329">
              <w:rPr>
                <w:rFonts w:ascii="Century Gothic" w:hAnsi="Century Gothic"/>
                <w:color w:val="595959"/>
              </w:rPr>
              <w:t xml:space="preserve">Periodo 2012 </w:t>
            </w:r>
            <w:r w:rsidR="00A34467">
              <w:rPr>
                <w:rFonts w:ascii="Century Gothic" w:hAnsi="Century Gothic"/>
                <w:color w:val="595959"/>
              </w:rPr>
              <w:t>–</w:t>
            </w:r>
            <w:r w:rsidRPr="00443329">
              <w:rPr>
                <w:rFonts w:ascii="Century Gothic" w:hAnsi="Century Gothic"/>
                <w:color w:val="595959"/>
              </w:rPr>
              <w:t xml:space="preserve"> 20</w:t>
            </w:r>
            <w:r w:rsidR="00C96CE4">
              <w:rPr>
                <w:rFonts w:ascii="Century Gothic" w:hAnsi="Century Gothic"/>
                <w:color w:val="595959"/>
              </w:rPr>
              <w:t>2</w:t>
            </w:r>
            <w:r w:rsidR="00A34467">
              <w:rPr>
                <w:rFonts w:ascii="Century Gothic" w:hAnsi="Century Gothic"/>
                <w:color w:val="595959"/>
              </w:rPr>
              <w:t>1</w:t>
            </w:r>
          </w:p>
        </w:tc>
      </w:tr>
      <w:tr w:rsidR="00CF0C1E" w:rsidRPr="00527E0F" w14:paraId="68C208C8" w14:textId="77777777" w:rsidTr="005B78BB">
        <w:trPr>
          <w:trHeight w:val="296"/>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C9DC53"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Base de datos establecimientos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58162E1F"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Base de establecimientos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65F45086" w14:textId="01911C8F" w:rsidR="00492810" w:rsidRPr="00443329" w:rsidRDefault="00C96CE4" w:rsidP="00C96CE4">
            <w:pPr>
              <w:jc w:val="center"/>
              <w:rPr>
                <w:rFonts w:ascii="Century Gothic" w:hAnsi="Century Gothic"/>
                <w:color w:val="595959"/>
                <w:szCs w:val="22"/>
                <w:lang w:val="es-ES"/>
              </w:rPr>
            </w:pPr>
            <w:r>
              <w:rPr>
                <w:rFonts w:ascii="Century Gothic" w:hAnsi="Century Gothic"/>
                <w:color w:val="595959"/>
              </w:rPr>
              <w:t xml:space="preserve">Periodo 2012 </w:t>
            </w:r>
            <w:r w:rsidR="00A34467">
              <w:rPr>
                <w:rFonts w:ascii="Century Gothic" w:hAnsi="Century Gothic"/>
                <w:color w:val="595959"/>
              </w:rPr>
              <w:t>–</w:t>
            </w:r>
            <w:r>
              <w:rPr>
                <w:rFonts w:ascii="Century Gothic" w:hAnsi="Century Gothic"/>
                <w:color w:val="595959"/>
              </w:rPr>
              <w:t xml:space="preserve"> 202</w:t>
            </w:r>
            <w:r w:rsidR="00A34467">
              <w:rPr>
                <w:rFonts w:ascii="Century Gothic" w:hAnsi="Century Gothic"/>
                <w:color w:val="595959"/>
              </w:rPr>
              <w:t>1</w:t>
            </w:r>
          </w:p>
        </w:tc>
      </w:tr>
      <w:tr w:rsidR="00CF0C1E" w:rsidRPr="00527E0F" w14:paraId="4B559D93" w14:textId="77777777" w:rsidTr="005B78BB">
        <w:trPr>
          <w:trHeight w:val="296"/>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6D7D445"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lang w:val="es-ES"/>
              </w:rPr>
              <w:t>Guía sobre el uso de la base de datos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50F73F52"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lang w:val="es-ES"/>
              </w:rPr>
              <w:t>Guía para el uso de la base de datos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38450821" w14:textId="1B89DEB5" w:rsidR="00492810" w:rsidRPr="00443329" w:rsidRDefault="00C96CE4" w:rsidP="00C96CE4">
            <w:pPr>
              <w:jc w:val="center"/>
              <w:rPr>
                <w:rFonts w:ascii="Century Gothic" w:hAnsi="Century Gothic"/>
                <w:color w:val="595959"/>
                <w:szCs w:val="22"/>
                <w:lang w:val="es-ES"/>
              </w:rPr>
            </w:pPr>
            <w:r>
              <w:rPr>
                <w:rFonts w:ascii="Century Gothic" w:hAnsi="Century Gothic"/>
                <w:color w:val="595959"/>
              </w:rPr>
              <w:t xml:space="preserve">Periodo 2012 </w:t>
            </w:r>
            <w:r w:rsidR="00A34467">
              <w:rPr>
                <w:rFonts w:ascii="Century Gothic" w:hAnsi="Century Gothic"/>
                <w:color w:val="595959"/>
              </w:rPr>
              <w:t>–</w:t>
            </w:r>
            <w:r>
              <w:rPr>
                <w:rFonts w:ascii="Century Gothic" w:hAnsi="Century Gothic"/>
                <w:color w:val="595959"/>
              </w:rPr>
              <w:t xml:space="preserve"> 202</w:t>
            </w:r>
            <w:r w:rsidR="00A34467">
              <w:rPr>
                <w:rFonts w:ascii="Century Gothic" w:hAnsi="Century Gothic"/>
                <w:color w:val="595959"/>
              </w:rPr>
              <w:t>1</w:t>
            </w:r>
          </w:p>
        </w:tc>
      </w:tr>
      <w:tr w:rsidR="00CF0C1E" w:rsidRPr="00527E0F" w14:paraId="308C8E2F" w14:textId="77777777" w:rsidTr="005B78BB">
        <w:trPr>
          <w:trHeight w:val="296"/>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8AE419"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Diccionario de variables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215D68CD"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Descripción de las variables que conforman las BDD.</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178A5286" w14:textId="6B49C682" w:rsidR="00492810" w:rsidRPr="00443329" w:rsidRDefault="00C96CE4" w:rsidP="00C96CE4">
            <w:pPr>
              <w:jc w:val="center"/>
              <w:rPr>
                <w:rFonts w:ascii="Century Gothic" w:hAnsi="Century Gothic"/>
                <w:color w:val="595959"/>
                <w:szCs w:val="22"/>
                <w:lang w:val="es-ES"/>
              </w:rPr>
            </w:pPr>
            <w:r>
              <w:rPr>
                <w:rFonts w:ascii="Century Gothic" w:hAnsi="Century Gothic"/>
                <w:color w:val="595959"/>
              </w:rPr>
              <w:t>Año 202</w:t>
            </w:r>
            <w:r w:rsidR="00A34467">
              <w:rPr>
                <w:rFonts w:ascii="Century Gothic" w:hAnsi="Century Gothic"/>
                <w:color w:val="595959"/>
              </w:rPr>
              <w:t>1</w:t>
            </w:r>
          </w:p>
        </w:tc>
      </w:tr>
      <w:tr w:rsidR="00CF0C1E" w:rsidRPr="00527E0F" w14:paraId="0B9922CD" w14:textId="77777777" w:rsidTr="005B78BB">
        <w:trPr>
          <w:trHeight w:val="798"/>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37810F"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Ficha de indicadores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3B5EEA13"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Ficha de indicadores resultantes del DIEE en formato homologado, así como indicadores homologados en Comisiones de Estadística.</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4346BBA3" w14:textId="361B5493" w:rsidR="00492810" w:rsidRPr="00443329" w:rsidRDefault="00C96CE4" w:rsidP="00CF0C1E">
            <w:pPr>
              <w:jc w:val="center"/>
              <w:rPr>
                <w:rFonts w:ascii="Century Gothic" w:hAnsi="Century Gothic"/>
                <w:color w:val="595959"/>
                <w:szCs w:val="22"/>
                <w:lang w:val="es-ES"/>
              </w:rPr>
            </w:pPr>
            <w:r>
              <w:rPr>
                <w:rFonts w:ascii="Century Gothic" w:hAnsi="Century Gothic"/>
                <w:color w:val="595959"/>
              </w:rPr>
              <w:t>Año 202</w:t>
            </w:r>
            <w:r w:rsidR="00A34467">
              <w:rPr>
                <w:rFonts w:ascii="Century Gothic" w:hAnsi="Century Gothic"/>
                <w:color w:val="595959"/>
              </w:rPr>
              <w:t>1</w:t>
            </w:r>
          </w:p>
        </w:tc>
      </w:tr>
      <w:tr w:rsidR="00CF0C1E" w:rsidRPr="00527E0F" w14:paraId="2E70DC5F" w14:textId="77777777" w:rsidTr="005B78BB">
        <w:trPr>
          <w:trHeight w:val="296"/>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D8C9FF"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Sintaxis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73CA05F6"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Sintaxis para obtener tabulados publicados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2853B5C4" w14:textId="765387B4" w:rsidR="00492810" w:rsidRPr="00443329" w:rsidRDefault="00C96CE4" w:rsidP="00CF0C1E">
            <w:pPr>
              <w:jc w:val="center"/>
              <w:rPr>
                <w:rFonts w:ascii="Century Gothic" w:hAnsi="Century Gothic"/>
                <w:color w:val="595959"/>
                <w:szCs w:val="22"/>
                <w:lang w:val="es-ES"/>
              </w:rPr>
            </w:pPr>
            <w:r>
              <w:rPr>
                <w:rFonts w:ascii="Century Gothic" w:hAnsi="Century Gothic"/>
                <w:color w:val="595959"/>
              </w:rPr>
              <w:t>Periodo 2012 – 202</w:t>
            </w:r>
            <w:r w:rsidR="00A34467">
              <w:rPr>
                <w:rFonts w:ascii="Century Gothic" w:hAnsi="Century Gothic"/>
                <w:color w:val="595959"/>
              </w:rPr>
              <w:t>1</w:t>
            </w:r>
          </w:p>
        </w:tc>
      </w:tr>
      <w:tr w:rsidR="00CF0C1E" w:rsidRPr="00527E0F" w14:paraId="0D3DB88F" w14:textId="77777777" w:rsidTr="005B78BB">
        <w:trPr>
          <w:trHeight w:val="532"/>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C2FCE2"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Metodología</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656C31CE"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Metodología aplicada para la obtención del Directorio de Empresas</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02BFA586" w14:textId="32ED6C3F" w:rsidR="00492810" w:rsidRPr="00443329" w:rsidRDefault="00C96CE4" w:rsidP="00CF0C1E">
            <w:pPr>
              <w:jc w:val="center"/>
              <w:rPr>
                <w:rFonts w:ascii="Century Gothic" w:hAnsi="Century Gothic"/>
                <w:color w:val="595959"/>
                <w:szCs w:val="22"/>
                <w:lang w:val="es-ES"/>
              </w:rPr>
            </w:pPr>
            <w:r>
              <w:rPr>
                <w:rFonts w:ascii="Century Gothic" w:hAnsi="Century Gothic"/>
                <w:color w:val="595959"/>
              </w:rPr>
              <w:t>Año 202</w:t>
            </w:r>
            <w:r w:rsidR="00A34467">
              <w:rPr>
                <w:rFonts w:ascii="Century Gothic" w:hAnsi="Century Gothic"/>
                <w:color w:val="595959"/>
              </w:rPr>
              <w:t>1</w:t>
            </w:r>
          </w:p>
        </w:tc>
      </w:tr>
      <w:tr w:rsidR="00CF0C1E" w:rsidRPr="00527E0F" w14:paraId="39D9608C" w14:textId="77777777" w:rsidTr="005B78BB">
        <w:trPr>
          <w:trHeight w:val="798"/>
        </w:trPr>
        <w:tc>
          <w:tcPr>
            <w:tcW w:w="2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DE063E"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Evolución histórica del Directorio de Empresas y Establecimientos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47A23D26"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Descripción de los hitos principales y evolución del DIEE, especialmente en lo concerniente a cambios metodológicos desde su creación hasta la actualidad.</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3610B415" w14:textId="173E8375" w:rsidR="00492810" w:rsidRPr="00443329" w:rsidRDefault="00492810" w:rsidP="00CF0C1E">
            <w:pPr>
              <w:jc w:val="center"/>
              <w:rPr>
                <w:rFonts w:ascii="Century Gothic" w:hAnsi="Century Gothic"/>
                <w:color w:val="595959"/>
                <w:szCs w:val="22"/>
                <w:lang w:val="es-ES"/>
              </w:rPr>
            </w:pPr>
            <w:r w:rsidRPr="00443329">
              <w:rPr>
                <w:rFonts w:ascii="Century Gothic" w:hAnsi="Century Gothic"/>
                <w:color w:val="595959"/>
              </w:rPr>
              <w:t>Periodo 2012</w:t>
            </w:r>
            <w:r w:rsidR="00C96CE4">
              <w:rPr>
                <w:rFonts w:ascii="Century Gothic" w:hAnsi="Century Gothic"/>
                <w:color w:val="595959"/>
              </w:rPr>
              <w:t xml:space="preserve"> – 202</w:t>
            </w:r>
            <w:r w:rsidR="00A34467">
              <w:rPr>
                <w:rFonts w:ascii="Century Gothic" w:hAnsi="Century Gothic"/>
                <w:color w:val="595959"/>
              </w:rPr>
              <w:t>1</w:t>
            </w:r>
          </w:p>
        </w:tc>
      </w:tr>
      <w:tr w:rsidR="00CF0C1E" w:rsidRPr="00527E0F" w14:paraId="3A52FC47" w14:textId="77777777" w:rsidTr="005B78BB">
        <w:trPr>
          <w:trHeight w:val="296"/>
        </w:trPr>
        <w:tc>
          <w:tcPr>
            <w:tcW w:w="26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359A94F"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Visualizador de Estadísticas Productivas – Directorio de Empresas</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01C11C5C" w14:textId="77777777" w:rsidR="00492810" w:rsidRPr="00443329" w:rsidRDefault="00492810" w:rsidP="00CF0C1E">
            <w:pPr>
              <w:rPr>
                <w:rFonts w:ascii="Century Gothic" w:hAnsi="Century Gothic"/>
                <w:color w:val="595959"/>
                <w:szCs w:val="22"/>
                <w:lang w:val="es-ES"/>
              </w:rPr>
            </w:pPr>
            <w:r w:rsidRPr="00443329">
              <w:rPr>
                <w:rFonts w:ascii="Century Gothic" w:hAnsi="Century Gothic"/>
                <w:color w:val="595959"/>
              </w:rPr>
              <w:t>Contiene:</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69B509" w14:textId="21621966" w:rsidR="00492810" w:rsidRPr="00443329" w:rsidRDefault="00C96CE4" w:rsidP="00CF0C1E">
            <w:pPr>
              <w:jc w:val="center"/>
              <w:rPr>
                <w:rFonts w:ascii="Century Gothic" w:hAnsi="Century Gothic"/>
                <w:color w:val="595959"/>
                <w:szCs w:val="22"/>
                <w:lang w:val="es-ES"/>
              </w:rPr>
            </w:pPr>
            <w:r>
              <w:rPr>
                <w:rFonts w:ascii="Century Gothic" w:hAnsi="Century Gothic"/>
                <w:color w:val="595959"/>
              </w:rPr>
              <w:t xml:space="preserve">Periodo 2012 </w:t>
            </w:r>
            <w:r w:rsidR="00A34467">
              <w:rPr>
                <w:rFonts w:ascii="Century Gothic" w:hAnsi="Century Gothic"/>
                <w:color w:val="595959"/>
              </w:rPr>
              <w:t>–</w:t>
            </w:r>
            <w:r>
              <w:rPr>
                <w:rFonts w:ascii="Century Gothic" w:hAnsi="Century Gothic"/>
                <w:color w:val="595959"/>
              </w:rPr>
              <w:t xml:space="preserve"> 202</w:t>
            </w:r>
            <w:r w:rsidR="00A34467">
              <w:rPr>
                <w:rFonts w:ascii="Century Gothic" w:hAnsi="Century Gothic"/>
                <w:color w:val="595959"/>
              </w:rPr>
              <w:t>1</w:t>
            </w:r>
          </w:p>
        </w:tc>
      </w:tr>
      <w:tr w:rsidR="00CF0C1E" w:rsidRPr="00527E0F" w14:paraId="16C4BF08" w14:textId="77777777" w:rsidTr="005B78BB">
        <w:trPr>
          <w:trHeight w:val="296"/>
        </w:trPr>
        <w:tc>
          <w:tcPr>
            <w:tcW w:w="2634" w:type="dxa"/>
            <w:vMerge/>
            <w:tcBorders>
              <w:top w:val="single" w:sz="4" w:space="0" w:color="auto"/>
              <w:left w:val="single" w:sz="4" w:space="0" w:color="auto"/>
              <w:bottom w:val="single" w:sz="4" w:space="0" w:color="auto"/>
              <w:right w:val="single" w:sz="4" w:space="0" w:color="auto"/>
            </w:tcBorders>
            <w:vAlign w:val="center"/>
            <w:hideMark/>
          </w:tcPr>
          <w:p w14:paraId="1CA510C1" w14:textId="77777777" w:rsidR="00492810" w:rsidRPr="00443329" w:rsidRDefault="00492810" w:rsidP="00CF0C1E">
            <w:pPr>
              <w:rPr>
                <w:rFonts w:ascii="Century Gothic" w:hAnsi="Century Gothic"/>
                <w:color w:val="595959"/>
                <w:lang w:val="es-ES"/>
              </w:rPr>
            </w:pP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0380713E"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    Análisis Sectorial y Territorial</w:t>
            </w: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18502AE" w14:textId="77777777" w:rsidR="00492810" w:rsidRPr="00443329" w:rsidRDefault="00492810" w:rsidP="00CF0C1E">
            <w:pPr>
              <w:rPr>
                <w:rFonts w:ascii="Century Gothic" w:hAnsi="Century Gothic"/>
                <w:color w:val="595959"/>
                <w:lang w:val="es-ES"/>
              </w:rPr>
            </w:pPr>
          </w:p>
        </w:tc>
      </w:tr>
      <w:tr w:rsidR="00CF0C1E" w:rsidRPr="00527E0F" w14:paraId="42907198" w14:textId="77777777" w:rsidTr="005B78BB">
        <w:trPr>
          <w:trHeight w:val="296"/>
        </w:trPr>
        <w:tc>
          <w:tcPr>
            <w:tcW w:w="2634" w:type="dxa"/>
            <w:vMerge/>
            <w:tcBorders>
              <w:top w:val="single" w:sz="4" w:space="0" w:color="auto"/>
              <w:left w:val="single" w:sz="4" w:space="0" w:color="auto"/>
              <w:bottom w:val="single" w:sz="4" w:space="0" w:color="auto"/>
              <w:right w:val="single" w:sz="4" w:space="0" w:color="auto"/>
            </w:tcBorders>
            <w:vAlign w:val="center"/>
            <w:hideMark/>
          </w:tcPr>
          <w:p w14:paraId="14E14617" w14:textId="77777777" w:rsidR="00492810" w:rsidRPr="00443329" w:rsidRDefault="00492810" w:rsidP="00CF0C1E">
            <w:pPr>
              <w:rPr>
                <w:rFonts w:ascii="Century Gothic" w:hAnsi="Century Gothic"/>
                <w:color w:val="595959"/>
                <w:lang w:val="es-ES"/>
              </w:rPr>
            </w:pP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214A8BF7"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    Análisis comparativo</w:t>
            </w: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3E851A1" w14:textId="77777777" w:rsidR="00492810" w:rsidRPr="00443329" w:rsidRDefault="00492810" w:rsidP="00CF0C1E">
            <w:pPr>
              <w:rPr>
                <w:rFonts w:ascii="Century Gothic" w:hAnsi="Century Gothic"/>
                <w:color w:val="595959"/>
                <w:lang w:val="es-ES"/>
              </w:rPr>
            </w:pPr>
          </w:p>
        </w:tc>
      </w:tr>
      <w:tr w:rsidR="00CF0C1E" w:rsidRPr="00527E0F" w14:paraId="125EB7E8" w14:textId="77777777" w:rsidTr="005B78BB">
        <w:trPr>
          <w:trHeight w:val="296"/>
        </w:trPr>
        <w:tc>
          <w:tcPr>
            <w:tcW w:w="2634" w:type="dxa"/>
            <w:vMerge/>
            <w:tcBorders>
              <w:top w:val="single" w:sz="4" w:space="0" w:color="auto"/>
              <w:left w:val="single" w:sz="4" w:space="0" w:color="auto"/>
              <w:bottom w:val="single" w:sz="4" w:space="0" w:color="auto"/>
              <w:right w:val="single" w:sz="4" w:space="0" w:color="auto"/>
            </w:tcBorders>
            <w:vAlign w:val="center"/>
            <w:hideMark/>
          </w:tcPr>
          <w:p w14:paraId="3A62A178" w14:textId="77777777" w:rsidR="00492810" w:rsidRPr="00443329" w:rsidRDefault="00492810" w:rsidP="00CF0C1E">
            <w:pPr>
              <w:rPr>
                <w:rFonts w:ascii="Century Gothic" w:hAnsi="Century Gothic"/>
                <w:color w:val="595959"/>
                <w:lang w:val="es-ES"/>
              </w:rPr>
            </w:pP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74D95CD8"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    Directorio Empresarial</w:t>
            </w: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1CBCC05" w14:textId="77777777" w:rsidR="00492810" w:rsidRPr="00443329" w:rsidRDefault="00492810" w:rsidP="00CF0C1E">
            <w:pPr>
              <w:rPr>
                <w:rFonts w:ascii="Century Gothic" w:hAnsi="Century Gothic"/>
                <w:color w:val="595959"/>
                <w:lang w:val="es-ES"/>
              </w:rPr>
            </w:pPr>
          </w:p>
        </w:tc>
      </w:tr>
      <w:tr w:rsidR="00CF0C1E" w:rsidRPr="00527E0F" w14:paraId="4A967213" w14:textId="77777777" w:rsidTr="005B78BB">
        <w:trPr>
          <w:trHeight w:val="296"/>
        </w:trPr>
        <w:tc>
          <w:tcPr>
            <w:tcW w:w="2634" w:type="dxa"/>
            <w:vMerge/>
            <w:tcBorders>
              <w:top w:val="single" w:sz="4" w:space="0" w:color="auto"/>
              <w:left w:val="single" w:sz="4" w:space="0" w:color="auto"/>
              <w:bottom w:val="single" w:sz="4" w:space="0" w:color="auto"/>
              <w:right w:val="single" w:sz="4" w:space="0" w:color="auto"/>
            </w:tcBorders>
            <w:vAlign w:val="center"/>
            <w:hideMark/>
          </w:tcPr>
          <w:p w14:paraId="56C1FBD2" w14:textId="77777777" w:rsidR="00492810" w:rsidRPr="00443329" w:rsidRDefault="00492810" w:rsidP="00CF0C1E">
            <w:pPr>
              <w:rPr>
                <w:rFonts w:ascii="Century Gothic" w:hAnsi="Century Gothic"/>
                <w:color w:val="595959"/>
                <w:lang w:val="es-ES"/>
              </w:rPr>
            </w:pP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14:paraId="6AE69E7F" w14:textId="77777777" w:rsidR="00492810" w:rsidRPr="00443329" w:rsidRDefault="00492810" w:rsidP="00CF0C1E">
            <w:pPr>
              <w:rPr>
                <w:rFonts w:ascii="Century Gothic" w:hAnsi="Century Gothic"/>
                <w:color w:val="595959"/>
                <w:lang w:val="es-ES"/>
              </w:rPr>
            </w:pPr>
            <w:r w:rsidRPr="00443329">
              <w:rPr>
                <w:rFonts w:ascii="Century Gothic" w:hAnsi="Century Gothic"/>
                <w:color w:val="595959"/>
              </w:rPr>
              <w:t>•    Visualizador del REDATAM</w:t>
            </w: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C5B6DF7" w14:textId="77777777" w:rsidR="00492810" w:rsidRPr="00443329" w:rsidRDefault="00492810" w:rsidP="00CF0C1E">
            <w:pPr>
              <w:rPr>
                <w:rFonts w:ascii="Century Gothic" w:hAnsi="Century Gothic"/>
                <w:color w:val="595959"/>
                <w:lang w:val="es-ES"/>
              </w:rPr>
            </w:pPr>
          </w:p>
        </w:tc>
      </w:tr>
    </w:tbl>
    <w:p w14:paraId="1AFF43C9" w14:textId="713B2307" w:rsidR="00492810" w:rsidRPr="00443329" w:rsidRDefault="00492810" w:rsidP="00CF0C1E">
      <w:pPr>
        <w:autoSpaceDE w:val="0"/>
        <w:autoSpaceDN w:val="0"/>
        <w:adjustRightInd w:val="0"/>
        <w:rPr>
          <w:rFonts w:ascii="Century Gothic" w:hAnsi="Century Gothic"/>
          <w:color w:val="595959" w:themeColor="text1" w:themeTint="A6"/>
          <w:sz w:val="16"/>
          <w:szCs w:val="16"/>
        </w:rPr>
      </w:pPr>
      <w:r w:rsidRPr="00443329">
        <w:rPr>
          <w:rFonts w:ascii="Century Gothic" w:hAnsi="Century Gothic"/>
          <w:b/>
          <w:color w:val="595959" w:themeColor="text1" w:themeTint="A6"/>
        </w:rPr>
        <w:t xml:space="preserve"> </w:t>
      </w:r>
      <w:r w:rsidRPr="00443329">
        <w:rPr>
          <w:rFonts w:ascii="Century Gothic" w:hAnsi="Century Gothic"/>
          <w:b/>
          <w:color w:val="595959" w:themeColor="text1" w:themeTint="A6"/>
          <w:sz w:val="16"/>
          <w:szCs w:val="16"/>
        </w:rPr>
        <w:t xml:space="preserve">Fuente: INEC - </w:t>
      </w:r>
      <w:r w:rsidRPr="00443329">
        <w:rPr>
          <w:rFonts w:ascii="Century Gothic" w:hAnsi="Century Gothic"/>
          <w:color w:val="595959" w:themeColor="text1" w:themeTint="A6"/>
          <w:sz w:val="16"/>
          <w:szCs w:val="16"/>
        </w:rPr>
        <w:t>Directorio de Empresas y Establec</w:t>
      </w:r>
      <w:r w:rsidR="00C96CE4">
        <w:rPr>
          <w:rFonts w:ascii="Century Gothic" w:hAnsi="Century Gothic"/>
          <w:color w:val="595959" w:themeColor="text1" w:themeTint="A6"/>
          <w:sz w:val="16"/>
          <w:szCs w:val="16"/>
        </w:rPr>
        <w:t>imientos 202</w:t>
      </w:r>
      <w:r w:rsidR="00972215">
        <w:rPr>
          <w:rFonts w:ascii="Century Gothic" w:hAnsi="Century Gothic"/>
          <w:color w:val="595959" w:themeColor="text1" w:themeTint="A6"/>
          <w:sz w:val="16"/>
          <w:szCs w:val="16"/>
        </w:rPr>
        <w:t>1</w:t>
      </w:r>
    </w:p>
    <w:p w14:paraId="4DD8333C" w14:textId="794D4114" w:rsidR="00736A29" w:rsidRPr="00527E0F" w:rsidRDefault="00736A29" w:rsidP="00492810">
      <w:pPr>
        <w:autoSpaceDE w:val="0"/>
        <w:autoSpaceDN w:val="0"/>
        <w:adjustRightInd w:val="0"/>
        <w:rPr>
          <w:rFonts w:ascii="Century Gothic" w:hAnsi="Century Gothic" w:cs="Arial"/>
          <w:color w:val="595959" w:themeColor="text1" w:themeTint="A6"/>
        </w:rPr>
      </w:pPr>
    </w:p>
    <w:p w14:paraId="7A326DFE" w14:textId="15652764" w:rsidR="00492810" w:rsidRPr="00176DC8" w:rsidRDefault="00492810" w:rsidP="00ED1B54">
      <w:pPr>
        <w:pStyle w:val="SUBTITULOINEC"/>
        <w:numPr>
          <w:ilvl w:val="1"/>
          <w:numId w:val="33"/>
        </w:numPr>
        <w:jc w:val="left"/>
        <w:rPr>
          <w:sz w:val="32"/>
          <w:szCs w:val="32"/>
        </w:rPr>
      </w:pPr>
      <w:bookmarkStart w:id="237" w:name="_Toc53757453"/>
      <w:r w:rsidRPr="00176DC8">
        <w:rPr>
          <w:sz w:val="32"/>
          <w:szCs w:val="32"/>
        </w:rPr>
        <w:t>Gestión de la comunicación de los productos de difusión</w:t>
      </w:r>
      <w:bookmarkEnd w:id="237"/>
    </w:p>
    <w:p w14:paraId="7BB2AA5F" w14:textId="3214EAED" w:rsidR="00492810" w:rsidRPr="00527E0F" w:rsidRDefault="00492810" w:rsidP="004433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Previo a la publicación de los productos finales del Directorio de</w:t>
      </w:r>
      <w:r w:rsidR="001E5421">
        <w:rPr>
          <w:rFonts w:ascii="Century Gothic" w:hAnsi="Century Gothic" w:cs="Arial"/>
          <w:color w:val="595959" w:themeColor="text1" w:themeTint="A6"/>
          <w:lang w:eastAsia="es-EC"/>
        </w:rPr>
        <w:t xml:space="preserve"> Empresas y Establecimientos 202</w:t>
      </w:r>
      <w:r w:rsidR="00972215">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 xml:space="preserve"> es necesario que estos sean aprobados por las autoridades correspondientes, en cada uno de sus niveles, según lo dispone la Resolución No. 055 – DIREJ–DIJU–NI-2017. </w:t>
      </w:r>
    </w:p>
    <w:p w14:paraId="103EFD85" w14:textId="77777777" w:rsidR="00492810" w:rsidRPr="00527E0F" w:rsidRDefault="00492810" w:rsidP="004433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Entre la finalización de los productos y su publicación transcurre aproximadamente un mes, tiempo en el cual se gestiona la aprobación y comunicación de los resultados alcanzados.</w:t>
      </w:r>
    </w:p>
    <w:p w14:paraId="5B90864C" w14:textId="681F9532" w:rsidR="00492810" w:rsidRDefault="00492810" w:rsidP="004433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Una vez aprobada la publicación del DIEE 20</w:t>
      </w:r>
      <w:r w:rsidR="001E5421">
        <w:rPr>
          <w:rFonts w:ascii="Century Gothic" w:hAnsi="Century Gothic" w:cs="Arial"/>
          <w:color w:val="595959" w:themeColor="text1" w:themeTint="A6"/>
          <w:lang w:eastAsia="es-EC"/>
        </w:rPr>
        <w:t>2</w:t>
      </w:r>
      <w:r w:rsidR="00A34467">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 la Dirección de Comunicación Social difunde al público en general la disponibilidad de la información, generalmente a través de un boletín informativo en la página web de la institución.</w:t>
      </w:r>
    </w:p>
    <w:p w14:paraId="641E8199" w14:textId="77777777" w:rsidR="00970248" w:rsidRDefault="00970248" w:rsidP="00443329">
      <w:pPr>
        <w:spacing w:before="240"/>
        <w:jc w:val="both"/>
        <w:rPr>
          <w:rFonts w:ascii="Century Gothic" w:hAnsi="Century Gothic" w:cs="Arial"/>
          <w:color w:val="595959" w:themeColor="text1" w:themeTint="A6"/>
          <w:lang w:eastAsia="es-EC"/>
        </w:rPr>
      </w:pPr>
    </w:p>
    <w:p w14:paraId="1CBD93D3" w14:textId="77777777" w:rsidR="00492810" w:rsidRPr="00176DC8" w:rsidRDefault="00492810" w:rsidP="00ED1B54">
      <w:pPr>
        <w:pStyle w:val="SUBTITULOINEC"/>
        <w:numPr>
          <w:ilvl w:val="1"/>
          <w:numId w:val="33"/>
        </w:numPr>
        <w:jc w:val="left"/>
        <w:rPr>
          <w:sz w:val="32"/>
          <w:szCs w:val="32"/>
        </w:rPr>
      </w:pPr>
      <w:bookmarkStart w:id="238" w:name="_Toc53757454"/>
      <w:r w:rsidRPr="00176DC8">
        <w:rPr>
          <w:sz w:val="32"/>
          <w:szCs w:val="32"/>
        </w:rPr>
        <w:t>Promoción de los productos de difusión</w:t>
      </w:r>
      <w:bookmarkEnd w:id="238"/>
    </w:p>
    <w:p w14:paraId="2FDCBD66" w14:textId="70688E5D" w:rsidR="00492810" w:rsidRDefault="00492810" w:rsidP="00736A29">
      <w:pPr>
        <w:spacing w:before="240"/>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La promoción del Directorio de Empresas y Establecimientos se encuentra a cargo de la Dirección de Comunicación Social, y se la realiza a través de la página web y las cuentas oficiales de la institución en redes sociales.</w:t>
      </w:r>
    </w:p>
    <w:p w14:paraId="762A6B89" w14:textId="77777777" w:rsidR="00B10D09" w:rsidRPr="00527E0F" w:rsidRDefault="00B10D09" w:rsidP="00B10D09">
      <w:pPr>
        <w:spacing w:before="240"/>
        <w:jc w:val="both"/>
        <w:rPr>
          <w:rFonts w:ascii="Century Gothic" w:hAnsi="Century Gothic" w:cs="Arial"/>
          <w:color w:val="595959" w:themeColor="text1" w:themeTint="A6"/>
          <w:lang w:eastAsia="es-EC"/>
        </w:rPr>
      </w:pPr>
    </w:p>
    <w:p w14:paraId="425AD14A" w14:textId="1450E612" w:rsidR="00492810" w:rsidRPr="00176DC8" w:rsidRDefault="00492810" w:rsidP="00ED1B54">
      <w:pPr>
        <w:pStyle w:val="SUBTITULOINEC"/>
        <w:numPr>
          <w:ilvl w:val="1"/>
          <w:numId w:val="33"/>
        </w:numPr>
        <w:jc w:val="left"/>
        <w:rPr>
          <w:sz w:val="32"/>
          <w:szCs w:val="32"/>
        </w:rPr>
      </w:pPr>
      <w:bookmarkStart w:id="239" w:name="_Toc53757455"/>
      <w:r w:rsidRPr="00176DC8">
        <w:rPr>
          <w:sz w:val="32"/>
          <w:szCs w:val="32"/>
        </w:rPr>
        <w:t>Administrar el soporte al usuario</w:t>
      </w:r>
      <w:bookmarkEnd w:id="239"/>
    </w:p>
    <w:p w14:paraId="2932FB3C" w14:textId="77777777" w:rsidR="00932569" w:rsidRDefault="00932569" w:rsidP="00932569">
      <w:pPr>
        <w:jc w:val="both"/>
        <w:rPr>
          <w:rFonts w:ascii="Century Gothic" w:hAnsi="Century Gothic" w:cs="Arial"/>
          <w:color w:val="595959" w:themeColor="text1" w:themeTint="A6"/>
          <w:lang w:eastAsia="es-EC"/>
        </w:rPr>
      </w:pPr>
    </w:p>
    <w:p w14:paraId="311BD88E" w14:textId="77777777" w:rsidR="00492810" w:rsidRDefault="00492810" w:rsidP="0093256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Considerando las necesidades que tienen los usuarios de la información, una vez que se publica la información del</w:t>
      </w:r>
      <w:r w:rsidRPr="00443329">
        <w:rPr>
          <w:rFonts w:ascii="Century Gothic" w:hAnsi="Century Gothic"/>
        </w:rPr>
        <w:t xml:space="preserve"> </w:t>
      </w:r>
      <w:r w:rsidRPr="00527E0F">
        <w:rPr>
          <w:rFonts w:ascii="Century Gothic" w:hAnsi="Century Gothic" w:cs="Arial"/>
          <w:color w:val="595959" w:themeColor="text1" w:themeTint="A6"/>
          <w:lang w:eastAsia="es-EC"/>
        </w:rPr>
        <w:t>DIEE se procede a dar respuesta a sus consultas o requerimientos, que se trasmiten a través de tickets generados en la página web, oficios desde otras instituciones públicas o privadas, y pedidos de información especiales solicitados por los medios de comunicación.</w:t>
      </w:r>
    </w:p>
    <w:p w14:paraId="144F7CCE" w14:textId="77777777" w:rsidR="00492810" w:rsidRDefault="00492810" w:rsidP="00736A29">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La ejecución de estas actividades se enmarca en las políticas establecidas por el INEC, para salvaguardar la confidencialidad de la información de los individuos involucrados.</w:t>
      </w:r>
    </w:p>
    <w:p w14:paraId="683CCCE7" w14:textId="77777777" w:rsidR="00E479A8" w:rsidRDefault="00E479A8" w:rsidP="00736A29">
      <w:pPr>
        <w:pStyle w:val="Sinespaciado"/>
        <w:spacing w:line="276" w:lineRule="auto"/>
        <w:jc w:val="both"/>
        <w:rPr>
          <w:rFonts w:ascii="Century Gothic" w:hAnsi="Century Gothic"/>
          <w:color w:val="595959" w:themeColor="text1" w:themeTint="A6"/>
          <w:sz w:val="24"/>
        </w:rPr>
      </w:pPr>
    </w:p>
    <w:p w14:paraId="18DA7A3A" w14:textId="7E970BEA" w:rsidR="00492810" w:rsidRPr="00443329" w:rsidRDefault="00492810" w:rsidP="00ED1B54">
      <w:pPr>
        <w:pStyle w:val="TITULOINEC"/>
        <w:numPr>
          <w:ilvl w:val="0"/>
          <w:numId w:val="33"/>
        </w:numPr>
        <w:jc w:val="left"/>
      </w:pPr>
      <w:bookmarkStart w:id="240" w:name="_Toc53757456"/>
      <w:r w:rsidRPr="00443329">
        <w:t>EVALUACIÓN</w:t>
      </w:r>
      <w:bookmarkEnd w:id="240"/>
    </w:p>
    <w:p w14:paraId="108FB547" w14:textId="77777777" w:rsidR="00492810" w:rsidRPr="00443329" w:rsidRDefault="00492810" w:rsidP="00492810">
      <w:pPr>
        <w:pStyle w:val="Sinespaciado"/>
        <w:rPr>
          <w:rFonts w:ascii="Century Gothic" w:hAnsi="Century Gothic"/>
          <w:sz w:val="24"/>
        </w:rPr>
      </w:pPr>
    </w:p>
    <w:p w14:paraId="742A0CBA" w14:textId="77777777" w:rsidR="00492810" w:rsidRDefault="00492810" w:rsidP="00492810">
      <w:pPr>
        <w:pStyle w:val="Sinespaciado"/>
        <w:spacing w:line="276" w:lineRule="auto"/>
        <w:jc w:val="both"/>
        <w:rPr>
          <w:rFonts w:ascii="Century Gothic" w:hAnsi="Century Gothic"/>
          <w:color w:val="595959" w:themeColor="text1" w:themeTint="A6"/>
          <w:sz w:val="24"/>
        </w:rPr>
      </w:pPr>
      <w:r w:rsidRPr="00443329">
        <w:rPr>
          <w:rFonts w:ascii="Century Gothic" w:hAnsi="Century Gothic"/>
          <w:color w:val="595959" w:themeColor="text1" w:themeTint="A6"/>
          <w:sz w:val="24"/>
        </w:rPr>
        <w:t>En este apartado se detalla las actividades y acciones emprendidas para evaluar los resultados de la operación estadística.</w:t>
      </w:r>
    </w:p>
    <w:p w14:paraId="4D4323DC" w14:textId="77777777" w:rsidR="00E479A8" w:rsidRPr="00443329" w:rsidRDefault="00E479A8" w:rsidP="00492810">
      <w:pPr>
        <w:pStyle w:val="Sinespaciado"/>
        <w:spacing w:line="276" w:lineRule="auto"/>
        <w:jc w:val="both"/>
        <w:rPr>
          <w:rFonts w:ascii="Century Gothic" w:hAnsi="Century Gothic"/>
          <w:color w:val="595959" w:themeColor="text1" w:themeTint="A6"/>
          <w:sz w:val="24"/>
        </w:rPr>
      </w:pPr>
    </w:p>
    <w:p w14:paraId="0C3734A8" w14:textId="03B105E0" w:rsidR="00492810" w:rsidRPr="00E479A8" w:rsidRDefault="00492810" w:rsidP="00ED1B54">
      <w:pPr>
        <w:pStyle w:val="SUBTITULOINEC"/>
        <w:numPr>
          <w:ilvl w:val="1"/>
          <w:numId w:val="33"/>
        </w:numPr>
        <w:jc w:val="left"/>
        <w:rPr>
          <w:sz w:val="32"/>
          <w:szCs w:val="32"/>
        </w:rPr>
      </w:pPr>
      <w:bookmarkStart w:id="241" w:name="_Toc53757457"/>
      <w:r w:rsidRPr="00E479A8">
        <w:rPr>
          <w:sz w:val="32"/>
          <w:szCs w:val="32"/>
        </w:rPr>
        <w:t>Indicadores de Calidad</w:t>
      </w:r>
      <w:bookmarkEnd w:id="241"/>
    </w:p>
    <w:p w14:paraId="4C5D41AC" w14:textId="77777777" w:rsidR="00932569" w:rsidRDefault="00932569" w:rsidP="00932569">
      <w:pPr>
        <w:jc w:val="both"/>
        <w:rPr>
          <w:rFonts w:ascii="Century Gothic" w:hAnsi="Century Gothic" w:cs="Arial"/>
          <w:color w:val="595959" w:themeColor="text1" w:themeTint="A6"/>
          <w:lang w:eastAsia="es-EC"/>
        </w:rPr>
      </w:pPr>
    </w:p>
    <w:p w14:paraId="3CEBD8E3" w14:textId="022ED79C" w:rsidR="00492810" w:rsidRDefault="00492810" w:rsidP="0093256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 xml:space="preserve">Para garantizar que la información producida y proporcionada al público cuente con todos los estándares y buenas prácticas estadísticas, durante </w:t>
      </w:r>
      <w:r w:rsidR="001E5421">
        <w:rPr>
          <w:rFonts w:ascii="Century Gothic" w:hAnsi="Century Gothic" w:cs="Arial"/>
          <w:color w:val="595959" w:themeColor="text1" w:themeTint="A6"/>
          <w:lang w:eastAsia="es-EC"/>
        </w:rPr>
        <w:t>la construcción del DIEE 202</w:t>
      </w:r>
      <w:r w:rsidR="00361AF3">
        <w:rPr>
          <w:rFonts w:ascii="Century Gothic" w:hAnsi="Century Gothic" w:cs="Arial"/>
          <w:color w:val="595959" w:themeColor="text1" w:themeTint="A6"/>
          <w:lang w:eastAsia="es-EC"/>
        </w:rPr>
        <w:t>1</w:t>
      </w:r>
      <w:r w:rsidRPr="00527E0F">
        <w:rPr>
          <w:rFonts w:ascii="Century Gothic" w:hAnsi="Century Gothic" w:cs="Arial"/>
          <w:color w:val="595959" w:themeColor="text1" w:themeTint="A6"/>
          <w:lang w:eastAsia="es-EC"/>
        </w:rPr>
        <w:t xml:space="preserve"> se implementaron procesos para el manejo de la calidad.</w:t>
      </w:r>
    </w:p>
    <w:p w14:paraId="30AD3C20" w14:textId="77777777" w:rsidR="00932569" w:rsidRDefault="00932569" w:rsidP="00736A29">
      <w:pPr>
        <w:jc w:val="both"/>
        <w:rPr>
          <w:rFonts w:ascii="Century Gothic" w:hAnsi="Century Gothic" w:cs="Arial"/>
          <w:color w:val="595959" w:themeColor="text1" w:themeTint="A6"/>
          <w:lang w:eastAsia="es-EC"/>
        </w:rPr>
      </w:pPr>
    </w:p>
    <w:p w14:paraId="380516F5" w14:textId="1DF96A77" w:rsidR="00664140" w:rsidRDefault="00492810" w:rsidP="00736A29">
      <w:pPr>
        <w:jc w:val="both"/>
        <w:rPr>
          <w:rFonts w:ascii="Century Gothic" w:hAnsi="Century Gothic" w:cs="Arial"/>
          <w:color w:val="595959" w:themeColor="text1" w:themeTint="A6"/>
          <w:lang w:eastAsia="es-EC"/>
        </w:rPr>
      </w:pPr>
      <w:r w:rsidRPr="00527E0F">
        <w:rPr>
          <w:rFonts w:ascii="Century Gothic" w:hAnsi="Century Gothic" w:cs="Arial"/>
          <w:color w:val="595959" w:themeColor="text1" w:themeTint="A6"/>
          <w:lang w:eastAsia="es-EC"/>
        </w:rPr>
        <w:t xml:space="preserve">Para ello, </w:t>
      </w:r>
      <w:r w:rsidR="00664140">
        <w:rPr>
          <w:rFonts w:ascii="Century Gothic" w:hAnsi="Century Gothic" w:cs="Arial"/>
          <w:color w:val="595959" w:themeColor="text1" w:themeTint="A6"/>
          <w:lang w:eastAsia="es-EC"/>
        </w:rPr>
        <w:t xml:space="preserve">el DIEE </w:t>
      </w:r>
      <w:r w:rsidR="00124BF1">
        <w:rPr>
          <w:rFonts w:ascii="Century Gothic" w:hAnsi="Century Gothic" w:cs="Arial"/>
          <w:color w:val="595959" w:themeColor="text1" w:themeTint="A6"/>
          <w:lang w:eastAsia="es-EC"/>
        </w:rPr>
        <w:t xml:space="preserve">en cumplimiento con el principio de </w:t>
      </w:r>
      <w:r w:rsidR="00664140">
        <w:rPr>
          <w:rFonts w:ascii="Century Gothic" w:hAnsi="Century Gothic" w:cs="Arial"/>
          <w:color w:val="595959" w:themeColor="text1" w:themeTint="A6"/>
          <w:lang w:eastAsia="es-EC"/>
        </w:rPr>
        <w:t xml:space="preserve">compromiso con la Calidad Estadística determinado en el Código de Buenas Prácticas Estadísticas que establece que las entidades del Sistema Estadístico Nacional garantizarán la calidad en los procesos y los resultados de la producción de estadísticas oficiales;  </w:t>
      </w:r>
      <w:r w:rsidR="00633ED4">
        <w:rPr>
          <w:rFonts w:ascii="Century Gothic" w:hAnsi="Century Gothic" w:cs="Arial"/>
          <w:color w:val="595959" w:themeColor="text1" w:themeTint="A6"/>
          <w:lang w:eastAsia="es-EC"/>
        </w:rPr>
        <w:t>formalizó</w:t>
      </w:r>
      <w:r w:rsidR="00664140">
        <w:rPr>
          <w:rFonts w:ascii="Century Gothic" w:hAnsi="Century Gothic" w:cs="Arial"/>
          <w:color w:val="595959" w:themeColor="text1" w:themeTint="A6"/>
          <w:lang w:eastAsia="es-EC"/>
        </w:rPr>
        <w:t xml:space="preserve"> indicadores de calidad que permitan promover y fomentar la mejora continua en las fases y procesos establecidos en el Modelo de Producción Estadística y dentro de la implementación del Marco de Aseguramiento de la Calidad.</w:t>
      </w:r>
    </w:p>
    <w:p w14:paraId="7F12A2E7" w14:textId="77777777" w:rsidR="00664140" w:rsidRDefault="00664140" w:rsidP="00736A29">
      <w:pPr>
        <w:jc w:val="both"/>
        <w:rPr>
          <w:rFonts w:ascii="Century Gothic" w:hAnsi="Century Gothic" w:cs="Arial"/>
          <w:color w:val="595959" w:themeColor="text1" w:themeTint="A6"/>
          <w:lang w:eastAsia="es-EC"/>
        </w:rPr>
      </w:pPr>
    </w:p>
    <w:p w14:paraId="50872F06" w14:textId="6CC2DC59" w:rsidR="00633ED4" w:rsidRDefault="00633ED4" w:rsidP="00633ED4">
      <w:pPr>
        <w:jc w:val="both"/>
        <w:rPr>
          <w:rFonts w:ascii="Century Gothic" w:hAnsi="Century Gothic" w:cs="Arial"/>
          <w:color w:val="595959" w:themeColor="text1" w:themeTint="A6"/>
          <w:lang w:eastAsia="es-EC"/>
        </w:rPr>
      </w:pPr>
      <w:r w:rsidRPr="00633ED4">
        <w:rPr>
          <w:rFonts w:ascii="Century Gothic" w:hAnsi="Century Gothic" w:cs="Arial"/>
          <w:color w:val="595959" w:themeColor="text1" w:themeTint="A6"/>
          <w:lang w:eastAsia="es-EC"/>
        </w:rPr>
        <w:t xml:space="preserve">El objetivo de la implementación de los indicadores es monitorear y medir la calidad del proceso de producción estadística, de esta forma disponer de alertas que permitan tomar decisiones correctivas; los indicadores implementados para el DIEE se enmarcan bajo seis dimensiones de calidad: </w:t>
      </w:r>
    </w:p>
    <w:p w14:paraId="05A285CF" w14:textId="77777777" w:rsidR="00633ED4" w:rsidRPr="00633ED4" w:rsidRDefault="00633ED4" w:rsidP="00633ED4">
      <w:pPr>
        <w:rPr>
          <w:rFonts w:ascii="Century Gothic" w:hAnsi="Century Gothic" w:cs="Arial"/>
          <w:color w:val="595959" w:themeColor="text1" w:themeTint="A6"/>
          <w:lang w:eastAsia="es-EC"/>
        </w:rPr>
      </w:pPr>
    </w:p>
    <w:p w14:paraId="67771334" w14:textId="77777777"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Oportunidad y puntualidad</w:t>
      </w:r>
    </w:p>
    <w:p w14:paraId="68F0C401" w14:textId="77777777"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Precisión y confiabilidad</w:t>
      </w:r>
    </w:p>
    <w:p w14:paraId="75C003D2" w14:textId="57DF007F"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Accesibilidad y claridad</w:t>
      </w:r>
    </w:p>
    <w:p w14:paraId="6DE3CD89" w14:textId="77777777"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Procedimientos estadísticos adecuados</w:t>
      </w:r>
    </w:p>
    <w:p w14:paraId="11D41854" w14:textId="77777777"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Coherencia y comparabilidad</w:t>
      </w:r>
    </w:p>
    <w:p w14:paraId="1562D03F" w14:textId="77777777" w:rsidR="00633ED4" w:rsidRPr="00633ED4" w:rsidRDefault="00633ED4" w:rsidP="00633ED4">
      <w:pPr>
        <w:pStyle w:val="Prrafodelista"/>
        <w:numPr>
          <w:ilvl w:val="0"/>
          <w:numId w:val="19"/>
        </w:numPr>
        <w:rPr>
          <w:rFonts w:ascii="Century Gothic" w:hAnsi="Century Gothic"/>
          <w:color w:val="595959" w:themeColor="text1" w:themeTint="A6"/>
          <w:sz w:val="24"/>
        </w:rPr>
      </w:pPr>
      <w:r w:rsidRPr="00633ED4">
        <w:rPr>
          <w:rFonts w:ascii="Century Gothic" w:hAnsi="Century Gothic"/>
          <w:color w:val="595959" w:themeColor="text1" w:themeTint="A6"/>
          <w:sz w:val="24"/>
        </w:rPr>
        <w:t>Relevancia.</w:t>
      </w:r>
    </w:p>
    <w:p w14:paraId="3EEC5DB9" w14:textId="4C0DA9F1" w:rsidR="00492810" w:rsidRDefault="004D2048" w:rsidP="00736A29">
      <w:pPr>
        <w:jc w:val="both"/>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Los indicadores de calidad establecidos para el DIEE y que se distribuyen en las dimensiones de calidad antes mencionadas son 43, entre los principales tenemos:</w:t>
      </w:r>
    </w:p>
    <w:p w14:paraId="2840E006" w14:textId="77777777" w:rsidR="00B10D09" w:rsidRPr="00527E0F" w:rsidRDefault="00B10D09" w:rsidP="00B10D09">
      <w:pPr>
        <w:jc w:val="both"/>
        <w:rPr>
          <w:rFonts w:ascii="Century Gothic" w:hAnsi="Century Gothic" w:cs="Arial"/>
          <w:color w:val="595959" w:themeColor="text1" w:themeTint="A6"/>
          <w:lang w:eastAsia="es-EC"/>
        </w:rPr>
      </w:pPr>
    </w:p>
    <w:p w14:paraId="7D76F0EA" w14:textId="0A8C32F4" w:rsidR="004D2048" w:rsidRDefault="004D2048" w:rsidP="003C20C6">
      <w:pPr>
        <w:pStyle w:val="Prrafodelista"/>
        <w:numPr>
          <w:ilvl w:val="0"/>
          <w:numId w:val="21"/>
        </w:numPr>
        <w:rPr>
          <w:rFonts w:ascii="Century Gothic" w:hAnsi="Century Gothic"/>
          <w:color w:val="595959" w:themeColor="text1" w:themeTint="A6"/>
          <w:sz w:val="24"/>
        </w:rPr>
      </w:pPr>
      <w:r>
        <w:rPr>
          <w:rFonts w:ascii="Century Gothic" w:hAnsi="Century Gothic"/>
          <w:color w:val="595959" w:themeColor="text1" w:themeTint="A6"/>
          <w:sz w:val="24"/>
        </w:rPr>
        <w:t>Puntualidad en la difusión del Directorio de Empresas y Establecimientos (Fechas establecidas en el calendario estadístico).</w:t>
      </w:r>
    </w:p>
    <w:p w14:paraId="23D5DA8C" w14:textId="7257D198" w:rsidR="004D2048" w:rsidRDefault="004D2048" w:rsidP="003C20C6">
      <w:pPr>
        <w:pStyle w:val="Prrafodelista"/>
        <w:numPr>
          <w:ilvl w:val="0"/>
          <w:numId w:val="21"/>
        </w:numPr>
        <w:rPr>
          <w:rFonts w:ascii="Century Gothic" w:hAnsi="Century Gothic"/>
          <w:color w:val="595959" w:themeColor="text1" w:themeTint="A6"/>
          <w:sz w:val="24"/>
        </w:rPr>
      </w:pPr>
      <w:r>
        <w:rPr>
          <w:rFonts w:ascii="Century Gothic" w:hAnsi="Century Gothic"/>
          <w:color w:val="595959" w:themeColor="text1" w:themeTint="A6"/>
          <w:sz w:val="24"/>
        </w:rPr>
        <w:t>Tasa de cobertura de las fuentes de información.</w:t>
      </w:r>
    </w:p>
    <w:p w14:paraId="2E10B40C" w14:textId="757E1659" w:rsidR="004D2048" w:rsidRDefault="004D2048" w:rsidP="003C20C6">
      <w:pPr>
        <w:pStyle w:val="Prrafodelista"/>
        <w:numPr>
          <w:ilvl w:val="0"/>
          <w:numId w:val="21"/>
        </w:numPr>
        <w:rPr>
          <w:rFonts w:ascii="Century Gothic" w:hAnsi="Century Gothic"/>
          <w:color w:val="595959" w:themeColor="text1" w:themeTint="A6"/>
          <w:sz w:val="24"/>
        </w:rPr>
      </w:pPr>
      <w:r>
        <w:rPr>
          <w:rFonts w:ascii="Century Gothic" w:hAnsi="Century Gothic"/>
          <w:color w:val="595959" w:themeColor="text1" w:themeTint="A6"/>
          <w:sz w:val="24"/>
        </w:rPr>
        <w:t>Porcentaje de productos mínimos difundidos en la página WEB institucional.</w:t>
      </w:r>
    </w:p>
    <w:p w14:paraId="012C53CA" w14:textId="567E5295" w:rsidR="004D2048" w:rsidRDefault="004D2048" w:rsidP="003C20C6">
      <w:pPr>
        <w:pStyle w:val="Prrafodelista"/>
        <w:numPr>
          <w:ilvl w:val="0"/>
          <w:numId w:val="21"/>
        </w:numPr>
        <w:rPr>
          <w:rFonts w:ascii="Century Gothic" w:hAnsi="Century Gothic"/>
          <w:color w:val="595959" w:themeColor="text1" w:themeTint="A6"/>
          <w:sz w:val="24"/>
        </w:rPr>
      </w:pPr>
      <w:r>
        <w:rPr>
          <w:rFonts w:ascii="Century Gothic" w:hAnsi="Century Gothic"/>
          <w:color w:val="595959" w:themeColor="text1" w:themeTint="A6"/>
          <w:sz w:val="24"/>
        </w:rPr>
        <w:t>Porcentaje de registros correctos supervisados en Call Center.</w:t>
      </w:r>
    </w:p>
    <w:p w14:paraId="39D488FF" w14:textId="1917FAA9" w:rsidR="004D2048" w:rsidRDefault="004D2048" w:rsidP="003C20C6">
      <w:pPr>
        <w:pStyle w:val="Prrafodelista"/>
        <w:numPr>
          <w:ilvl w:val="0"/>
          <w:numId w:val="21"/>
        </w:numPr>
        <w:rPr>
          <w:rFonts w:ascii="Century Gothic" w:hAnsi="Century Gothic"/>
          <w:color w:val="595959" w:themeColor="text1" w:themeTint="A6"/>
          <w:sz w:val="24"/>
        </w:rPr>
      </w:pPr>
      <w:r>
        <w:rPr>
          <w:rFonts w:ascii="Century Gothic" w:hAnsi="Century Gothic"/>
          <w:color w:val="595959" w:themeColor="text1" w:themeTint="A6"/>
          <w:sz w:val="24"/>
        </w:rPr>
        <w:t>Porcentaje de</w:t>
      </w:r>
      <w:r w:rsidR="00E9762C">
        <w:rPr>
          <w:rFonts w:ascii="Century Gothic" w:hAnsi="Century Gothic"/>
          <w:color w:val="595959" w:themeColor="text1" w:themeTint="A6"/>
          <w:sz w:val="24"/>
        </w:rPr>
        <w:t xml:space="preserve"> productos mínimos difundidos en formato abierto.</w:t>
      </w:r>
    </w:p>
    <w:p w14:paraId="45397989" w14:textId="3F8B6E6B" w:rsidR="00E9762C" w:rsidRDefault="00E9762C" w:rsidP="00ED1B54">
      <w:pPr>
        <w:pStyle w:val="Prrafodelista"/>
        <w:numPr>
          <w:ilvl w:val="0"/>
          <w:numId w:val="21"/>
        </w:numPr>
        <w:rPr>
          <w:rFonts w:ascii="Century Gothic" w:hAnsi="Century Gothic"/>
          <w:color w:val="595959" w:themeColor="text1" w:themeTint="A6"/>
          <w:sz w:val="24"/>
        </w:rPr>
      </w:pPr>
      <w:r w:rsidRPr="00E9762C">
        <w:rPr>
          <w:rFonts w:ascii="Century Gothic" w:hAnsi="Century Gothic"/>
          <w:color w:val="595959" w:themeColor="text1" w:themeTint="A6"/>
          <w:sz w:val="24"/>
        </w:rPr>
        <w:t xml:space="preserve">Indicadores que permiten medir la cobertura del DIEE: </w:t>
      </w:r>
      <w:r w:rsidR="0013233F">
        <w:rPr>
          <w:rFonts w:ascii="Century Gothic" w:hAnsi="Century Gothic"/>
          <w:color w:val="595959" w:themeColor="text1" w:themeTint="A6"/>
          <w:sz w:val="24"/>
        </w:rPr>
        <w:t>p</w:t>
      </w:r>
      <w:r w:rsidR="00492810" w:rsidRPr="00E9762C">
        <w:rPr>
          <w:rFonts w:ascii="Century Gothic" w:hAnsi="Century Gothic"/>
          <w:color w:val="595959" w:themeColor="text1" w:themeTint="A6"/>
          <w:sz w:val="24"/>
        </w:rPr>
        <w:t>orcentaje de empresas falsas activas</w:t>
      </w:r>
      <w:r w:rsidRPr="00E9762C">
        <w:rPr>
          <w:rFonts w:ascii="Century Gothic" w:hAnsi="Century Gothic"/>
          <w:color w:val="595959" w:themeColor="text1" w:themeTint="A6"/>
          <w:sz w:val="24"/>
        </w:rPr>
        <w:t xml:space="preserve">, </w:t>
      </w:r>
      <w:r>
        <w:rPr>
          <w:rFonts w:ascii="Century Gothic" w:hAnsi="Century Gothic"/>
          <w:color w:val="595959" w:themeColor="text1" w:themeTint="A6"/>
          <w:sz w:val="24"/>
        </w:rPr>
        <w:t>p</w:t>
      </w:r>
      <w:r w:rsidR="00492810" w:rsidRPr="00E9762C">
        <w:rPr>
          <w:rFonts w:ascii="Century Gothic" w:hAnsi="Century Gothic"/>
          <w:color w:val="595959" w:themeColor="text1" w:themeTint="A6"/>
          <w:sz w:val="24"/>
        </w:rPr>
        <w:t>orcentaje de</w:t>
      </w:r>
      <w:r>
        <w:rPr>
          <w:rFonts w:ascii="Century Gothic" w:hAnsi="Century Gothic"/>
          <w:color w:val="595959" w:themeColor="text1" w:themeTint="A6"/>
          <w:sz w:val="24"/>
        </w:rPr>
        <w:t xml:space="preserve"> empresas con error en dirección, porcentaje de empresas con error de</w:t>
      </w:r>
      <w:r w:rsidR="00492810" w:rsidRPr="00E9762C">
        <w:rPr>
          <w:rFonts w:ascii="Century Gothic" w:hAnsi="Century Gothic"/>
          <w:color w:val="595959" w:themeColor="text1" w:themeTint="A6"/>
          <w:sz w:val="24"/>
        </w:rPr>
        <w:t xml:space="preserve"> codificación de actividad económica, </w:t>
      </w:r>
      <w:r>
        <w:rPr>
          <w:rFonts w:ascii="Century Gothic" w:hAnsi="Century Gothic"/>
          <w:color w:val="595959" w:themeColor="text1" w:themeTint="A6"/>
          <w:sz w:val="24"/>
        </w:rPr>
        <w:t>porcentaje de empresas con error en ubicación geográfica.</w:t>
      </w:r>
    </w:p>
    <w:p w14:paraId="5FDDB93C" w14:textId="77777777" w:rsidR="00492810" w:rsidRPr="00443329" w:rsidRDefault="00492810" w:rsidP="00443329">
      <w:pPr>
        <w:pStyle w:val="TITULOINEC"/>
      </w:pPr>
      <w:bookmarkStart w:id="242" w:name="_Toc381774294"/>
      <w:bookmarkStart w:id="243" w:name="_Toc382901710"/>
      <w:bookmarkStart w:id="244" w:name="_Toc412998157"/>
      <w:bookmarkStart w:id="245" w:name="_Toc53757458"/>
      <w:r w:rsidRPr="00443329">
        <w:t>GLOSARIO</w:t>
      </w:r>
      <w:bookmarkEnd w:id="242"/>
      <w:bookmarkEnd w:id="243"/>
      <w:r w:rsidRPr="00443329">
        <w:t xml:space="preserve"> DE TÉRMINOS</w:t>
      </w:r>
      <w:bookmarkEnd w:id="244"/>
      <w:bookmarkEnd w:id="245"/>
      <w:r w:rsidRPr="00443329">
        <w:t xml:space="preserve"> </w:t>
      </w:r>
    </w:p>
    <w:p w14:paraId="58182104" w14:textId="77777777" w:rsidR="00492810" w:rsidRPr="00443329" w:rsidRDefault="00492810" w:rsidP="00492810">
      <w:pPr>
        <w:pStyle w:val="Sinespaciado"/>
        <w:rPr>
          <w:rFonts w:ascii="Century Gothic" w:hAnsi="Century Gothic"/>
          <w:sz w:val="24"/>
        </w:rPr>
      </w:pPr>
    </w:p>
    <w:p w14:paraId="30B777B6" w14:textId="24BF98BB"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Actividad económica:</w:t>
      </w:r>
      <w:r w:rsidRPr="00B10D09">
        <w:rPr>
          <w:rFonts w:ascii="Century Gothic" w:hAnsi="Century Gothic"/>
          <w:color w:val="595959" w:themeColor="text1" w:themeTint="A6"/>
          <w:lang w:eastAsia="es-EC"/>
        </w:rPr>
        <w:t xml:space="preserve"> Es el proceso que combina recursos tales como equipo, mano de obra, técnicas de fabricación e insumos, para la producción de bienes y servicios, que permite satisfacer las necesidades. Las actividades económicas</w:t>
      </w:r>
      <w:r w:rsidRPr="00B10D09">
        <w:rPr>
          <w:rFonts w:ascii="Century Gothic" w:hAnsi="Century Gothic"/>
          <w:color w:val="595959" w:themeColor="text1" w:themeTint="A6"/>
          <w:lang w:eastAsia="es-EC"/>
        </w:rPr>
        <w:tab/>
        <w:t xml:space="preserve"> pueden describirse y clasificarse de acuerdo a sus características tales como:</w:t>
      </w:r>
    </w:p>
    <w:p w14:paraId="6552FD3F" w14:textId="77777777" w:rsidR="00B10D09" w:rsidRPr="00B10D09" w:rsidRDefault="00B10D09" w:rsidP="00B10D09">
      <w:pPr>
        <w:jc w:val="both"/>
        <w:rPr>
          <w:rFonts w:ascii="Century Gothic" w:hAnsi="Century Gothic"/>
          <w:color w:val="595959" w:themeColor="text1" w:themeTint="A6"/>
          <w:lang w:eastAsia="es-EC"/>
        </w:rPr>
      </w:pPr>
    </w:p>
    <w:p w14:paraId="0978521E" w14:textId="77777777" w:rsidR="00492810" w:rsidRPr="00443329" w:rsidRDefault="00492810" w:rsidP="003C20C6">
      <w:pPr>
        <w:pStyle w:val="Prrafodelista"/>
        <w:numPr>
          <w:ilvl w:val="0"/>
          <w:numId w:val="6"/>
        </w:numPr>
        <w:rPr>
          <w:rFonts w:ascii="Century Gothic" w:hAnsi="Century Gothic"/>
          <w:color w:val="595959" w:themeColor="text1" w:themeTint="A6"/>
          <w:sz w:val="24"/>
        </w:rPr>
      </w:pPr>
      <w:r w:rsidRPr="00443329">
        <w:rPr>
          <w:rFonts w:ascii="Century Gothic" w:hAnsi="Century Gothic"/>
          <w:color w:val="595959" w:themeColor="text1" w:themeTint="A6"/>
          <w:sz w:val="24"/>
        </w:rPr>
        <w:t>Tipo de bienes o servicios producido.</w:t>
      </w:r>
    </w:p>
    <w:p w14:paraId="67F309EF" w14:textId="77777777" w:rsidR="00492810" w:rsidRPr="00443329" w:rsidRDefault="00492810" w:rsidP="003C20C6">
      <w:pPr>
        <w:pStyle w:val="Prrafodelista"/>
        <w:numPr>
          <w:ilvl w:val="0"/>
          <w:numId w:val="6"/>
        </w:numPr>
        <w:rPr>
          <w:rFonts w:ascii="Century Gothic" w:hAnsi="Century Gothic"/>
          <w:color w:val="595959" w:themeColor="text1" w:themeTint="A6"/>
          <w:sz w:val="24"/>
        </w:rPr>
      </w:pPr>
      <w:r w:rsidRPr="00443329">
        <w:rPr>
          <w:rFonts w:ascii="Century Gothic" w:hAnsi="Century Gothic"/>
          <w:color w:val="595959" w:themeColor="text1" w:themeTint="A6"/>
          <w:sz w:val="24"/>
        </w:rPr>
        <w:t>Tipo de insumos utilizado o consumidos.</w:t>
      </w:r>
    </w:p>
    <w:p w14:paraId="71D10923" w14:textId="2C7EF06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Actividad económica principal:</w:t>
      </w:r>
      <w:r w:rsidRPr="00B10D09">
        <w:rPr>
          <w:rFonts w:ascii="Century Gothic" w:hAnsi="Century Gothic"/>
          <w:color w:val="595959" w:themeColor="text1" w:themeTint="A6"/>
          <w:lang w:eastAsia="es-EC"/>
        </w:rPr>
        <w:t xml:space="preserve"> es aquella que más aporta al valor agregado de la unidad económica, a la producción bruta o que ocupa la mayor proporción de empleados, los productos resultantes de una actividad principal pueden ser productos principales o subproductos.</w:t>
      </w:r>
    </w:p>
    <w:p w14:paraId="1CD9A2D8" w14:textId="77777777" w:rsidR="00301860" w:rsidRPr="00B10D09" w:rsidRDefault="00301860" w:rsidP="00301860">
      <w:pPr>
        <w:jc w:val="both"/>
        <w:rPr>
          <w:rFonts w:ascii="Century Gothic" w:hAnsi="Century Gothic"/>
          <w:color w:val="595959" w:themeColor="text1" w:themeTint="A6"/>
          <w:lang w:eastAsia="es-EC"/>
        </w:rPr>
      </w:pPr>
    </w:p>
    <w:p w14:paraId="7B587275" w14:textId="018307D5"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Actividad económica secundaria:</w:t>
      </w:r>
      <w:r w:rsidRPr="00B10D09">
        <w:rPr>
          <w:rFonts w:ascii="Century Gothic" w:hAnsi="Century Gothic"/>
          <w:color w:val="595959" w:themeColor="text1" w:themeTint="A6"/>
          <w:lang w:eastAsia="es-EC"/>
        </w:rPr>
        <w:t xml:space="preserve"> se entiende toda actividad independiente que genera productos destinados en última instancia a terceros y que no es la actividad principal de la entidad en cuestión. Los productos de las actividades secundarias son productos secundarios. La mayoría de las entidades económicas producen algún producto secundario.</w:t>
      </w:r>
    </w:p>
    <w:p w14:paraId="1AD0298F" w14:textId="77777777" w:rsidR="00301860" w:rsidRPr="00B10D09" w:rsidRDefault="00301860" w:rsidP="00301860">
      <w:pPr>
        <w:jc w:val="both"/>
        <w:rPr>
          <w:rFonts w:ascii="Century Gothic" w:hAnsi="Century Gothic"/>
          <w:color w:val="595959" w:themeColor="text1" w:themeTint="A6"/>
          <w:lang w:eastAsia="es-EC"/>
        </w:rPr>
      </w:pPr>
    </w:p>
    <w:p w14:paraId="0B2BDE54"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Activos fijos:</w:t>
      </w:r>
      <w:r w:rsidRPr="00B10D09">
        <w:rPr>
          <w:rFonts w:ascii="Century Gothic" w:hAnsi="Century Gothic"/>
          <w:color w:val="595959" w:themeColor="text1" w:themeTint="A6"/>
          <w:lang w:eastAsia="es-EC"/>
        </w:rPr>
        <w:t xml:space="preserve"> Constituyen todos los bienes tangibles o derechos de propiedad que dispone la unidad económica, susceptibles de contabilizarse y reflejarse como tales en los estados financieros, siempre y cuando cumplan con las siguientes condiciones:</w:t>
      </w:r>
    </w:p>
    <w:p w14:paraId="2CFCFEAE" w14:textId="77777777" w:rsidR="00492810" w:rsidRPr="00443329" w:rsidRDefault="00492810" w:rsidP="003C20C6">
      <w:pPr>
        <w:pStyle w:val="Prrafodelista"/>
        <w:numPr>
          <w:ilvl w:val="0"/>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Constituir propiedad de la unidad económica.</w:t>
      </w:r>
    </w:p>
    <w:p w14:paraId="00C31B9A" w14:textId="77777777" w:rsidR="00492810" w:rsidRPr="00443329" w:rsidRDefault="00492810" w:rsidP="003C20C6">
      <w:pPr>
        <w:pStyle w:val="Prrafodelista"/>
        <w:numPr>
          <w:ilvl w:val="0"/>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Utilizarse en las actividades de la unidad económica o estar entregados en comodato y no estar destinados para la venta.</w:t>
      </w:r>
    </w:p>
    <w:p w14:paraId="580693DF" w14:textId="77777777" w:rsidR="00492810" w:rsidRPr="00443329" w:rsidRDefault="00492810" w:rsidP="003C20C6">
      <w:pPr>
        <w:pStyle w:val="Prrafodelista"/>
        <w:numPr>
          <w:ilvl w:val="0"/>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Tener una vida útil superior a un año.</w:t>
      </w:r>
    </w:p>
    <w:p w14:paraId="0F63C34F" w14:textId="77777777" w:rsidR="00492810" w:rsidRPr="00443329" w:rsidRDefault="00492810" w:rsidP="003C20C6">
      <w:pPr>
        <w:pStyle w:val="Prrafodelista"/>
        <w:numPr>
          <w:ilvl w:val="0"/>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Tener un costo individual igual o superior a cinco salarios mínimos vitales generales vigentes a la fecha de incorporación.</w:t>
      </w:r>
    </w:p>
    <w:p w14:paraId="01485EDB"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Acto Jurídico:</w:t>
      </w:r>
      <w:r w:rsidRPr="00B10D09">
        <w:rPr>
          <w:rFonts w:ascii="Century Gothic" w:hAnsi="Century Gothic"/>
          <w:color w:val="595959" w:themeColor="text1" w:themeTint="A6"/>
          <w:lang w:eastAsia="es-EC"/>
        </w:rPr>
        <w:t xml:space="preserve"> Tiene que ver con cambios en los estatutos de una sociedad, según el reglamento de la Superintendencia de Compañías existen 11, pero los utilizados en el Directorio son:</w:t>
      </w:r>
    </w:p>
    <w:p w14:paraId="506BB107" w14:textId="77777777" w:rsidR="00492810" w:rsidRPr="00443329" w:rsidRDefault="00492810" w:rsidP="003C20C6">
      <w:pPr>
        <w:pStyle w:val="Prrafodelista"/>
        <w:numPr>
          <w:ilvl w:val="0"/>
          <w:numId w:val="8"/>
        </w:numPr>
        <w:rPr>
          <w:rFonts w:ascii="Century Gothic" w:hAnsi="Century Gothic"/>
          <w:color w:val="595959" w:themeColor="text1" w:themeTint="A6"/>
          <w:sz w:val="24"/>
        </w:rPr>
      </w:pPr>
      <w:r w:rsidRPr="00443329">
        <w:rPr>
          <w:rFonts w:ascii="Century Gothic" w:hAnsi="Century Gothic"/>
          <w:b/>
          <w:color w:val="595959" w:themeColor="text1" w:themeTint="A6"/>
          <w:sz w:val="24"/>
        </w:rPr>
        <w:t>Fusión:</w:t>
      </w:r>
      <w:r w:rsidRPr="00443329">
        <w:rPr>
          <w:rFonts w:ascii="Century Gothic" w:hAnsi="Century Gothic"/>
          <w:color w:val="595959" w:themeColor="text1" w:themeTint="A6"/>
          <w:sz w:val="24"/>
        </w:rPr>
        <w:t xml:space="preserve"> Cuando dos o más compañías se unen para formar una nueva que les sucede en sus derechos y obligaciones o cuando una o más compañías son absorbidas por otra que continúa subsistiendo.</w:t>
      </w:r>
    </w:p>
    <w:p w14:paraId="4E733F99" w14:textId="77777777" w:rsidR="00492810" w:rsidRPr="00443329" w:rsidRDefault="00492810" w:rsidP="003C20C6">
      <w:pPr>
        <w:pStyle w:val="Prrafodelista"/>
        <w:numPr>
          <w:ilvl w:val="0"/>
          <w:numId w:val="8"/>
        </w:numPr>
        <w:rPr>
          <w:rFonts w:ascii="Century Gothic" w:hAnsi="Century Gothic"/>
          <w:color w:val="595959" w:themeColor="text1" w:themeTint="A6"/>
          <w:sz w:val="24"/>
        </w:rPr>
      </w:pPr>
      <w:r w:rsidRPr="00443329">
        <w:rPr>
          <w:rFonts w:ascii="Century Gothic" w:hAnsi="Century Gothic"/>
          <w:b/>
          <w:color w:val="595959" w:themeColor="text1" w:themeTint="A6"/>
          <w:sz w:val="24"/>
        </w:rPr>
        <w:t>Escisión:</w:t>
      </w:r>
      <w:r w:rsidRPr="00443329">
        <w:rPr>
          <w:rFonts w:ascii="Century Gothic" w:hAnsi="Century Gothic"/>
          <w:color w:val="595959" w:themeColor="text1" w:themeTint="A6"/>
          <w:sz w:val="24"/>
        </w:rPr>
        <w:t xml:space="preserve"> La división de la compañía, en una o más sociedades. La compañía que acuerde la escisión mantendrá su naturaleza. Sin embargo, las compañías que se creen por efecto de la escisión, podrán ser de especie distinta de la original.</w:t>
      </w:r>
    </w:p>
    <w:p w14:paraId="365B9EA9" w14:textId="77777777" w:rsidR="00492810" w:rsidRPr="00443329" w:rsidRDefault="00492810" w:rsidP="003C20C6">
      <w:pPr>
        <w:pStyle w:val="Prrafodelista"/>
        <w:numPr>
          <w:ilvl w:val="0"/>
          <w:numId w:val="8"/>
        </w:numPr>
        <w:rPr>
          <w:rFonts w:ascii="Century Gothic" w:hAnsi="Century Gothic"/>
          <w:color w:val="595959" w:themeColor="text1" w:themeTint="A6"/>
          <w:sz w:val="24"/>
        </w:rPr>
      </w:pPr>
      <w:r w:rsidRPr="00443329">
        <w:rPr>
          <w:rFonts w:ascii="Century Gothic" w:hAnsi="Century Gothic"/>
          <w:b/>
          <w:color w:val="595959" w:themeColor="text1" w:themeTint="A6"/>
          <w:sz w:val="24"/>
        </w:rPr>
        <w:t>Transformación:</w:t>
      </w:r>
      <w:r w:rsidRPr="00443329">
        <w:rPr>
          <w:rFonts w:ascii="Century Gothic" w:hAnsi="Century Gothic"/>
          <w:color w:val="595959" w:themeColor="text1" w:themeTint="A6"/>
          <w:sz w:val="24"/>
        </w:rPr>
        <w:t xml:space="preserve"> De compañía anónima a compañía de economía mixta, a compañía en nombre colectivo, a comandita simple o compañía de responsabilidad limitada. Y viceversa. De economía mixta a empresas públicas.</w:t>
      </w:r>
    </w:p>
    <w:p w14:paraId="73E27735" w14:textId="382F9351"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Cantones:</w:t>
      </w:r>
      <w:r w:rsidRPr="00B10D09">
        <w:rPr>
          <w:rFonts w:ascii="Century Gothic" w:hAnsi="Century Gothic"/>
          <w:color w:val="595959" w:themeColor="text1" w:themeTint="A6"/>
          <w:lang w:eastAsia="es-EC"/>
        </w:rPr>
        <w:t xml:space="preserve"> son circunscripciones territoriales conformadas por parroquias rurales y la cabecera cantonal con sus parroquias urbanas, señaladas en su respectiva ley de creación.</w:t>
      </w:r>
    </w:p>
    <w:p w14:paraId="14335E6C" w14:textId="77777777" w:rsidR="00301860" w:rsidRPr="00B10D09" w:rsidRDefault="00301860" w:rsidP="00301860">
      <w:pPr>
        <w:jc w:val="both"/>
        <w:rPr>
          <w:rFonts w:ascii="Century Gothic" w:hAnsi="Century Gothic"/>
          <w:color w:val="595959" w:themeColor="text1" w:themeTint="A6"/>
          <w:lang w:eastAsia="es-EC"/>
        </w:rPr>
      </w:pPr>
    </w:p>
    <w:p w14:paraId="520426D6"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Clasificación Industrial Internacional Uniforme, Revisión 4 (CIIU4.0):</w:t>
      </w:r>
      <w:r w:rsidRPr="00B10D09">
        <w:rPr>
          <w:rFonts w:ascii="Century Gothic" w:hAnsi="Century Gothic"/>
          <w:color w:val="595959" w:themeColor="text1" w:themeTint="A6"/>
          <w:lang w:eastAsia="es-EC"/>
        </w:rPr>
        <w:t xml:space="preserve"> constituye una estructura de clasificación coherente y consistente de todas las actividades económicas basada en un conjunto de conceptos, definiciones, principios y normas de clasificación. Proporciona un marco general en que los datos económicos pueden reunirse y divulgarse en un formato diseñado para fines de análisis económico, adopción de decisiones y elaboración de políticas.</w:t>
      </w:r>
    </w:p>
    <w:p w14:paraId="21341068" w14:textId="77777777" w:rsidR="001056B6" w:rsidRDefault="001056B6" w:rsidP="00443329">
      <w:pPr>
        <w:jc w:val="both"/>
        <w:rPr>
          <w:rFonts w:ascii="Century Gothic" w:hAnsi="Century Gothic"/>
          <w:color w:val="595959" w:themeColor="text1" w:themeTint="A6"/>
          <w:lang w:eastAsia="es-EC"/>
        </w:rPr>
      </w:pPr>
    </w:p>
    <w:p w14:paraId="0452BFE1" w14:textId="18CA3A8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En la CIIU se desagrega la economía a los niveles más detallados de industrias y grupos de industrias, así como a los niveles más agregados de divisiones y secciones.</w:t>
      </w:r>
    </w:p>
    <w:p w14:paraId="1A95D71F" w14:textId="77777777" w:rsidR="001056B6" w:rsidRDefault="001056B6" w:rsidP="00443329">
      <w:pPr>
        <w:jc w:val="both"/>
        <w:rPr>
          <w:rFonts w:ascii="Century Gothic" w:hAnsi="Century Gothic"/>
          <w:color w:val="595959" w:themeColor="text1" w:themeTint="A6"/>
          <w:lang w:eastAsia="es-EC"/>
        </w:rPr>
      </w:pPr>
    </w:p>
    <w:p w14:paraId="7597CFEF" w14:textId="65662492"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La clasificación puede utilizarse para examinar industrias o grupos de industrias concretos o para analizar la economía en su conjunto desagregándola a diferentes niveles de detalle.</w:t>
      </w:r>
    </w:p>
    <w:p w14:paraId="5C1102AD"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El directorio de empresas presenta información de la actividad económica principal, conforme a los siguientes niveles de desagregación de la CIIU 4:</w:t>
      </w:r>
    </w:p>
    <w:p w14:paraId="13A0949F" w14:textId="77777777" w:rsidR="00492810" w:rsidRPr="00443329" w:rsidRDefault="00492810" w:rsidP="003C20C6">
      <w:pPr>
        <w:pStyle w:val="Prrafodelista"/>
        <w:numPr>
          <w:ilvl w:val="1"/>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Sección (1 dígito)</w:t>
      </w:r>
    </w:p>
    <w:p w14:paraId="12724F36" w14:textId="77777777" w:rsidR="00492810" w:rsidRPr="00443329" w:rsidRDefault="00492810" w:rsidP="003C20C6">
      <w:pPr>
        <w:pStyle w:val="Prrafodelista"/>
        <w:numPr>
          <w:ilvl w:val="1"/>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División (2 dígitos)</w:t>
      </w:r>
    </w:p>
    <w:p w14:paraId="46558DFA" w14:textId="77777777" w:rsidR="00492810" w:rsidRPr="00443329" w:rsidRDefault="00492810" w:rsidP="003C20C6">
      <w:pPr>
        <w:pStyle w:val="Prrafodelista"/>
        <w:numPr>
          <w:ilvl w:val="1"/>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Clase (4 dígitos)</w:t>
      </w:r>
    </w:p>
    <w:p w14:paraId="5B3494F9" w14:textId="77777777" w:rsidR="00492810" w:rsidRPr="00443329" w:rsidRDefault="00492810" w:rsidP="003C20C6">
      <w:pPr>
        <w:pStyle w:val="Prrafodelista"/>
        <w:numPr>
          <w:ilvl w:val="1"/>
          <w:numId w:val="7"/>
        </w:numPr>
        <w:rPr>
          <w:rFonts w:ascii="Century Gothic" w:hAnsi="Century Gothic"/>
          <w:color w:val="595959" w:themeColor="text1" w:themeTint="A6"/>
          <w:sz w:val="24"/>
        </w:rPr>
      </w:pPr>
      <w:r w:rsidRPr="00443329">
        <w:rPr>
          <w:rFonts w:ascii="Century Gothic" w:hAnsi="Century Gothic"/>
          <w:color w:val="595959" w:themeColor="text1" w:themeTint="A6"/>
          <w:sz w:val="24"/>
        </w:rPr>
        <w:t>Actividad económica (6 dígitos)</w:t>
      </w:r>
    </w:p>
    <w:p w14:paraId="0B43F68B"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Cobertura:</w:t>
      </w:r>
      <w:r w:rsidRPr="00B10D09">
        <w:rPr>
          <w:rFonts w:ascii="Century Gothic" w:hAnsi="Century Gothic"/>
          <w:color w:val="595959" w:themeColor="text1" w:themeTint="A6"/>
          <w:lang w:eastAsia="es-EC"/>
        </w:rPr>
        <w:t xml:space="preserve"> La cobertura de un archivo o de un directorio se define por el conjunto de unidades que deben estar incluidas; este conjunto es definido por las características comunes que las unidades deben tener y por las limitaciones de algunas características (por ejemplo, todas las empresas cuya actividad principal es la producción de servicios informáticos, pero limitadas a las empresas con más de cuatro personas ocupadas), es decir, la lista de las variables que concierne a las unidades.</w:t>
      </w:r>
    </w:p>
    <w:p w14:paraId="4955DD0E" w14:textId="6D654AFF"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De acuerdo a lo establecido en el “Manual sobre Directorios de Empresas con Fines Estadísticos en la Comunidad Andina”, la cobertura del Directorio de Empresas está determinada por todas aquellas empresas que ejerzan una actividad económica que contribuya al Producto Interno Bruto, por tal motivo se excluye del universo del DIEE las secciones T y U debido a que no se contabilizan en las Cuentas Nacionales y por consiguiente no se consideran para el cálculo del PIB.</w:t>
      </w:r>
    </w:p>
    <w:p w14:paraId="61FB1265" w14:textId="77777777" w:rsidR="00301860" w:rsidRPr="00B10D09" w:rsidRDefault="00301860" w:rsidP="00301860">
      <w:pPr>
        <w:jc w:val="both"/>
        <w:rPr>
          <w:rFonts w:ascii="Century Gothic" w:hAnsi="Century Gothic"/>
          <w:color w:val="595959" w:themeColor="text1" w:themeTint="A6"/>
          <w:lang w:eastAsia="es-EC"/>
        </w:rPr>
      </w:pPr>
    </w:p>
    <w:p w14:paraId="7E0E4284" w14:textId="5EF7844C"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Código CIIU 1 digito (sección):</w:t>
      </w:r>
      <w:r w:rsidRPr="00B10D09">
        <w:rPr>
          <w:rFonts w:ascii="Century Gothic" w:hAnsi="Century Gothic"/>
          <w:color w:val="595959" w:themeColor="text1" w:themeTint="A6"/>
          <w:lang w:eastAsia="es-EC"/>
        </w:rPr>
        <w:t xml:space="preserve"> es la representación de la categoría de nivel superior de la clasificación, se identifica por un código alfabético (A-U). Las letras mayúsculas se asignan a las secciones, las cuales agrupan información estadística correspondiente a un sector de la economía con características homogéneas</w:t>
      </w:r>
      <w:r w:rsidR="001056B6">
        <w:rPr>
          <w:rFonts w:ascii="Century Gothic" w:hAnsi="Century Gothic"/>
          <w:color w:val="595959" w:themeColor="text1" w:themeTint="A6"/>
          <w:lang w:eastAsia="es-EC"/>
        </w:rPr>
        <w:t>:</w:t>
      </w:r>
    </w:p>
    <w:p w14:paraId="589B5184" w14:textId="77777777" w:rsidR="001056B6" w:rsidRPr="00B10D09" w:rsidRDefault="001056B6" w:rsidP="00443329">
      <w:pPr>
        <w:jc w:val="both"/>
        <w:rPr>
          <w:rFonts w:ascii="Century Gothic" w:hAnsi="Century Gothic"/>
          <w:color w:val="595959" w:themeColor="text1" w:themeTint="A6"/>
          <w:lang w:eastAsia="es-EC"/>
        </w:rPr>
      </w:pPr>
    </w:p>
    <w:p w14:paraId="041AB965"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A - Agricultura, silvicultura y pesca</w:t>
      </w:r>
    </w:p>
    <w:p w14:paraId="1046F97D"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B - Explotación de minas y canteras</w:t>
      </w:r>
    </w:p>
    <w:p w14:paraId="0DDDE0D1"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C - Industrias manufactureras</w:t>
      </w:r>
    </w:p>
    <w:p w14:paraId="14067271"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D - Suministro de electricidad, gas, vapor y aire acondicionado</w:t>
      </w:r>
    </w:p>
    <w:p w14:paraId="56611B96"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E - Suministro de agua; alcantarillado, gestión de desechos y actividades de saneamiento</w:t>
      </w:r>
    </w:p>
    <w:p w14:paraId="666C2EB8"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F - Construcción</w:t>
      </w:r>
    </w:p>
    <w:p w14:paraId="5F4931E4"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G - Comercio al por mayor y al por menor; reparación de los vehículos de motor y de las motocicletas</w:t>
      </w:r>
    </w:p>
    <w:p w14:paraId="160BEAFF"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H - Transporte y comunicación</w:t>
      </w:r>
    </w:p>
    <w:p w14:paraId="6242F314"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I - Alojamiento y servicios de comida</w:t>
      </w:r>
    </w:p>
    <w:p w14:paraId="3D743A2E"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J - Información y comunicación</w:t>
      </w:r>
    </w:p>
    <w:p w14:paraId="2EE8D07A"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K - Actividades financieras y de seguros.</w:t>
      </w:r>
    </w:p>
    <w:p w14:paraId="3492A306"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L - Actividades inmobiliarias</w:t>
      </w:r>
    </w:p>
    <w:p w14:paraId="7884FAB0"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M - Actividades profesionales, científicas y técnicas</w:t>
      </w:r>
    </w:p>
    <w:p w14:paraId="20922627"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N - Actividades administrativas y servicios de apoyo</w:t>
      </w:r>
    </w:p>
    <w:p w14:paraId="21CE7585"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O - Administración pública y defensa; planes de seguridad social de afiliación obligatoria</w:t>
      </w:r>
    </w:p>
    <w:p w14:paraId="087F3082"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P - Enseñanza</w:t>
      </w:r>
    </w:p>
    <w:p w14:paraId="12749FC1"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Q - Servicios sociales y relacionados con la salud humana.</w:t>
      </w:r>
    </w:p>
    <w:p w14:paraId="1F216F41"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R - Artes, entretenimiento y recreación</w:t>
      </w:r>
    </w:p>
    <w:p w14:paraId="60B5D6AB"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S - Otras actividades de servicio</w:t>
      </w:r>
    </w:p>
    <w:p w14:paraId="3AF957F5"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T - Actividades de los hogares en calidad de empleadores, actividades   indiferenciadas de producción de bienes y servicios de los hogares para uso propio</w:t>
      </w:r>
    </w:p>
    <w:p w14:paraId="0AB012D2" w14:textId="77777777" w:rsidR="00492810" w:rsidRPr="00443329" w:rsidRDefault="00492810" w:rsidP="003C20C6">
      <w:pPr>
        <w:pStyle w:val="Prrafodelista"/>
        <w:numPr>
          <w:ilvl w:val="1"/>
          <w:numId w:val="7"/>
        </w:numPr>
        <w:ind w:left="720" w:hanging="270"/>
        <w:rPr>
          <w:rFonts w:ascii="Century Gothic" w:hAnsi="Century Gothic"/>
          <w:color w:val="595959" w:themeColor="text1" w:themeTint="A6"/>
          <w:sz w:val="24"/>
        </w:rPr>
      </w:pPr>
      <w:r w:rsidRPr="00443329">
        <w:rPr>
          <w:rFonts w:ascii="Century Gothic" w:hAnsi="Century Gothic"/>
          <w:color w:val="595959" w:themeColor="text1" w:themeTint="A6"/>
          <w:sz w:val="24"/>
        </w:rPr>
        <w:t>U - Actividades de organizaciones y órganos extraterritoriales</w:t>
      </w:r>
    </w:p>
    <w:p w14:paraId="1FCEBA56" w14:textId="0E30F5B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Código CIIU 2 digito (división):</w:t>
      </w:r>
      <w:r w:rsidRPr="00B10D09">
        <w:rPr>
          <w:rFonts w:ascii="Century Gothic" w:hAnsi="Century Gothic"/>
          <w:color w:val="595959" w:themeColor="text1" w:themeTint="A6"/>
          <w:lang w:eastAsia="es-EC"/>
        </w:rPr>
        <w:t xml:space="preserve"> Los dos dígitos indican conjuntamente la división, que corresponde a una categoría de tabulación más detallada y agrupa actividades pertenecientes a un mismo sector económico con mayor grado de homogeneidad, teniendo en cuenta la especialidad de las actividades económicas que desarrollan, las características y el uso de los bienes producidos y los servicios prestados, los insumos, el proceso y la tecnología de producción utilizada.</w:t>
      </w:r>
    </w:p>
    <w:p w14:paraId="074F43F4" w14:textId="77777777" w:rsidR="00301860" w:rsidRPr="00B10D09" w:rsidRDefault="00301860" w:rsidP="00301860">
      <w:pPr>
        <w:jc w:val="both"/>
        <w:rPr>
          <w:rFonts w:ascii="Century Gothic" w:hAnsi="Century Gothic"/>
          <w:color w:val="595959" w:themeColor="text1" w:themeTint="A6"/>
          <w:lang w:eastAsia="es-EC"/>
        </w:rPr>
      </w:pPr>
    </w:p>
    <w:p w14:paraId="58CF49FC" w14:textId="1DA07EA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Código CIIU 4 digito (clase):</w:t>
      </w:r>
      <w:r w:rsidRPr="00B10D09">
        <w:rPr>
          <w:rFonts w:ascii="Century Gothic" w:hAnsi="Century Gothic"/>
          <w:color w:val="595959" w:themeColor="text1" w:themeTint="A6"/>
          <w:lang w:eastAsia="es-EC"/>
        </w:rPr>
        <w:t xml:space="preserve"> Los cuatro dígitos identifican la clase, que es la categoría más detallada y clasifica características específicas de una actividad. Su notación de cuatro dígitos identifica en los dos primeros la división, en el tercero el grupo y en el último la clase.</w:t>
      </w:r>
    </w:p>
    <w:p w14:paraId="3127A5E9" w14:textId="77777777" w:rsidR="00301860" w:rsidRPr="00B10D09" w:rsidRDefault="00301860" w:rsidP="00301860">
      <w:pPr>
        <w:jc w:val="both"/>
        <w:rPr>
          <w:rFonts w:ascii="Century Gothic" w:hAnsi="Century Gothic"/>
          <w:color w:val="595959" w:themeColor="text1" w:themeTint="A6"/>
          <w:lang w:eastAsia="es-EC"/>
        </w:rPr>
      </w:pPr>
    </w:p>
    <w:p w14:paraId="23563319" w14:textId="2FA3AB43"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Código CIIU 6 digito (actividad económica):</w:t>
      </w:r>
      <w:r w:rsidRPr="00B10D09">
        <w:rPr>
          <w:rFonts w:ascii="Century Gothic" w:hAnsi="Century Gothic"/>
          <w:color w:val="595959" w:themeColor="text1" w:themeTint="A6"/>
          <w:lang w:eastAsia="es-EC"/>
        </w:rPr>
        <w:t xml:space="preserve"> los seis dígitos identifican claramente la actividad o las actividades económicas que realiza la unidad estadística. Esta identificación implica una descripción completa y precisa de la actividad. Debe contener información acerca del sector económico de la misma (industria, comercio, servicio, etc., los cuales corresponden a secciones en la CIIU) más alguna característica diferenciadora y complementaria que permita clasificar la o las actividades en las demás categorías de la CIIU (división, grupo y clase).</w:t>
      </w:r>
    </w:p>
    <w:p w14:paraId="34EDFB3D" w14:textId="77777777" w:rsidR="00301860" w:rsidRPr="00B10D09" w:rsidRDefault="00301860" w:rsidP="00301860">
      <w:pPr>
        <w:jc w:val="both"/>
        <w:rPr>
          <w:rFonts w:ascii="Century Gothic" w:hAnsi="Century Gothic"/>
          <w:color w:val="595959" w:themeColor="text1" w:themeTint="A6"/>
          <w:lang w:eastAsia="es-EC"/>
        </w:rPr>
      </w:pPr>
    </w:p>
    <w:p w14:paraId="3CF304CC" w14:textId="1A5670A5"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Contacto:</w:t>
      </w:r>
      <w:r w:rsidRPr="00B10D09">
        <w:rPr>
          <w:rFonts w:ascii="Century Gothic" w:hAnsi="Century Gothic"/>
          <w:color w:val="595959" w:themeColor="text1" w:themeTint="A6"/>
          <w:lang w:eastAsia="es-EC"/>
        </w:rPr>
        <w:t xml:space="preserve"> Es el nombre del informante, propietario, administrador, encargado o cualquier persona dependiente o no de la empresa que esté en capacidad de proveer información sobre la unidad económica.</w:t>
      </w:r>
    </w:p>
    <w:p w14:paraId="012C2C1B" w14:textId="77777777" w:rsidR="00301860" w:rsidRPr="00B10D09" w:rsidRDefault="00301860" w:rsidP="00301860">
      <w:pPr>
        <w:jc w:val="both"/>
        <w:rPr>
          <w:rFonts w:ascii="Century Gothic" w:hAnsi="Century Gothic"/>
          <w:color w:val="595959" w:themeColor="text1" w:themeTint="A6"/>
          <w:lang w:eastAsia="es-EC"/>
        </w:rPr>
      </w:pPr>
    </w:p>
    <w:p w14:paraId="520BE139" w14:textId="01896635"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Correo electrónico:</w:t>
      </w:r>
      <w:r w:rsidRPr="00B10D09">
        <w:rPr>
          <w:rFonts w:ascii="Century Gothic" w:hAnsi="Century Gothic"/>
          <w:color w:val="595959" w:themeColor="text1" w:themeTint="A6"/>
          <w:lang w:eastAsia="es-EC"/>
        </w:rPr>
        <w:t xml:space="preserve"> Es la serie de caracteres cuya finalidad es acceder a un servicio de red que posibilita a las unidades económicas el envío y recepción de mensajes mediante sistemas de comunicación electrónicos.</w:t>
      </w:r>
    </w:p>
    <w:p w14:paraId="0F22B043" w14:textId="77777777" w:rsidR="00301860" w:rsidRPr="00B10D09" w:rsidRDefault="00301860" w:rsidP="00301860">
      <w:pPr>
        <w:jc w:val="both"/>
        <w:rPr>
          <w:rFonts w:ascii="Century Gothic" w:hAnsi="Century Gothic"/>
          <w:color w:val="595959" w:themeColor="text1" w:themeTint="A6"/>
          <w:lang w:eastAsia="es-EC"/>
        </w:rPr>
      </w:pPr>
    </w:p>
    <w:p w14:paraId="2CCC1CC1" w14:textId="59932319"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Clase de contribuyente:</w:t>
      </w:r>
      <w:r w:rsidRPr="00B10D09">
        <w:rPr>
          <w:rFonts w:ascii="Century Gothic" w:hAnsi="Century Gothic"/>
          <w:color w:val="595959" w:themeColor="text1" w:themeTint="A6"/>
          <w:lang w:eastAsia="es-EC"/>
        </w:rPr>
        <w:t xml:space="preserve"> Corresponde a una clasificación que mantiene el Servicio de Rentas Internas para estratificar a sus contribuyentes:</w:t>
      </w:r>
    </w:p>
    <w:p w14:paraId="7CB6505E" w14:textId="77777777" w:rsidR="001056B6" w:rsidRPr="00B10D09" w:rsidRDefault="001056B6" w:rsidP="00443329">
      <w:pPr>
        <w:jc w:val="both"/>
        <w:rPr>
          <w:rFonts w:ascii="Century Gothic" w:hAnsi="Century Gothic"/>
          <w:color w:val="595959" w:themeColor="text1" w:themeTint="A6"/>
          <w:lang w:eastAsia="es-EC"/>
        </w:rPr>
      </w:pPr>
    </w:p>
    <w:p w14:paraId="2D77D1CF" w14:textId="77448B78" w:rsidR="00492810" w:rsidRPr="00443329" w:rsidRDefault="00492810" w:rsidP="003C20C6">
      <w:pPr>
        <w:pStyle w:val="Prrafodelista"/>
        <w:numPr>
          <w:ilvl w:val="0"/>
          <w:numId w:val="9"/>
        </w:numPr>
        <w:rPr>
          <w:rFonts w:ascii="Century Gothic" w:hAnsi="Century Gothic"/>
          <w:color w:val="595959" w:themeColor="text1" w:themeTint="A6"/>
          <w:sz w:val="24"/>
        </w:rPr>
      </w:pPr>
      <w:r w:rsidRPr="00443329">
        <w:rPr>
          <w:rFonts w:ascii="Century Gothic" w:hAnsi="Century Gothic"/>
          <w:b/>
          <w:color w:val="595959" w:themeColor="text1" w:themeTint="A6"/>
          <w:sz w:val="24"/>
        </w:rPr>
        <w:t>Especiales:</w:t>
      </w:r>
      <w:r w:rsidRPr="00443329">
        <w:rPr>
          <w:rFonts w:ascii="Century Gothic" w:hAnsi="Century Gothic"/>
          <w:color w:val="595959" w:themeColor="text1" w:themeTint="A6"/>
          <w:sz w:val="24"/>
        </w:rPr>
        <w:t xml:space="preserve"> es todo aquel contribuyente (persona natural o sociedad), calificado formalmente como tal por la Administración Tributaria, </w:t>
      </w:r>
      <w:r w:rsidR="00301860" w:rsidRPr="00301860">
        <w:rPr>
          <w:rFonts w:ascii="Century Gothic" w:hAnsi="Century Gothic"/>
          <w:color w:val="595959" w:themeColor="text1" w:themeTint="A6"/>
          <w:sz w:val="24"/>
        </w:rPr>
        <w:t>que,</w:t>
      </w:r>
      <w:r w:rsidRPr="00443329">
        <w:rPr>
          <w:rFonts w:ascii="Century Gothic" w:hAnsi="Century Gothic"/>
          <w:color w:val="595959" w:themeColor="text1" w:themeTint="A6"/>
          <w:sz w:val="24"/>
        </w:rPr>
        <w:t xml:space="preserve"> en mérito a su importancia económica definida en parámetros especiales, coadyuva a la recaudación efectiva de los tributos, sujetándolo a normas especiales con relación al cumplimiento de sus deberes formales y pago de los tributos.</w:t>
      </w:r>
    </w:p>
    <w:p w14:paraId="68B8C6CB" w14:textId="77777777" w:rsidR="00492810" w:rsidRPr="00443329" w:rsidRDefault="00492810" w:rsidP="003C20C6">
      <w:pPr>
        <w:pStyle w:val="Prrafodelista"/>
        <w:numPr>
          <w:ilvl w:val="0"/>
          <w:numId w:val="9"/>
        </w:numPr>
        <w:rPr>
          <w:rFonts w:ascii="Century Gothic" w:hAnsi="Century Gothic"/>
          <w:color w:val="595959" w:themeColor="text1" w:themeTint="A6"/>
          <w:sz w:val="24"/>
        </w:rPr>
      </w:pPr>
      <w:r w:rsidRPr="00443329">
        <w:rPr>
          <w:rFonts w:ascii="Century Gothic" w:hAnsi="Century Gothic"/>
          <w:b/>
          <w:color w:val="595959" w:themeColor="text1" w:themeTint="A6"/>
          <w:sz w:val="24"/>
        </w:rPr>
        <w:t>RISE (Régimen Impositivo Simplificado):</w:t>
      </w:r>
      <w:r w:rsidRPr="00443329">
        <w:rPr>
          <w:rFonts w:ascii="Century Gothic" w:hAnsi="Century Gothic"/>
          <w:color w:val="595959" w:themeColor="text1" w:themeTint="A6"/>
          <w:sz w:val="24"/>
        </w:rPr>
        <w:t xml:space="preserve"> es un nuevo régimen de incorporación voluntaria, reemplaza el pago del IVA y del Impuesto a la Renta a través de cuotas mensuales y tiene por objeto mejorar la cultura tributaria en el país, principalmente en microempresas.</w:t>
      </w:r>
    </w:p>
    <w:p w14:paraId="13AF365C" w14:textId="77777777" w:rsidR="00492810" w:rsidRPr="00443329" w:rsidRDefault="00492810" w:rsidP="003C20C6">
      <w:pPr>
        <w:pStyle w:val="Prrafodelista"/>
        <w:numPr>
          <w:ilvl w:val="0"/>
          <w:numId w:val="9"/>
        </w:numPr>
        <w:rPr>
          <w:rFonts w:ascii="Century Gothic" w:hAnsi="Century Gothic"/>
          <w:color w:val="595959" w:themeColor="text1" w:themeTint="A6"/>
          <w:sz w:val="24"/>
        </w:rPr>
      </w:pPr>
      <w:r w:rsidRPr="00443329">
        <w:rPr>
          <w:rFonts w:ascii="Century Gothic" w:hAnsi="Century Gothic"/>
          <w:b/>
          <w:color w:val="595959" w:themeColor="text1" w:themeTint="A6"/>
          <w:sz w:val="24"/>
        </w:rPr>
        <w:t>Otros:</w:t>
      </w:r>
      <w:r w:rsidRPr="00443329">
        <w:rPr>
          <w:rFonts w:ascii="Century Gothic" w:hAnsi="Century Gothic"/>
          <w:color w:val="595959" w:themeColor="text1" w:themeTint="A6"/>
          <w:sz w:val="24"/>
        </w:rPr>
        <w:t xml:space="preserve"> Son el resto de contribuyentes que no constan como Especiales o RISE.</w:t>
      </w:r>
    </w:p>
    <w:p w14:paraId="43C52E61" w14:textId="1AEAFA80"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Demografía:</w:t>
      </w:r>
      <w:r w:rsidRPr="00B10D09">
        <w:rPr>
          <w:rFonts w:ascii="Century Gothic" w:hAnsi="Century Gothic"/>
          <w:color w:val="595959" w:themeColor="text1" w:themeTint="A6"/>
          <w:lang w:eastAsia="es-EC"/>
        </w:rPr>
        <w:t xml:space="preserve"> Permite conocer rasgos agregados de la población de empresas como son el stock, nacimiento y cierre de empresas. A partir de las fechas de inicio, cierre y reinicio de actividades que declaran las empresas, pueden construirse estos indicadores: </w:t>
      </w:r>
    </w:p>
    <w:p w14:paraId="4398C0B7" w14:textId="77777777" w:rsidR="00301860" w:rsidRPr="00B10D09" w:rsidRDefault="00301860" w:rsidP="00301860">
      <w:pPr>
        <w:jc w:val="both"/>
        <w:rPr>
          <w:rFonts w:ascii="Century Gothic" w:hAnsi="Century Gothic"/>
          <w:color w:val="595959" w:themeColor="text1" w:themeTint="A6"/>
          <w:lang w:eastAsia="es-EC"/>
        </w:rPr>
      </w:pPr>
    </w:p>
    <w:p w14:paraId="7E911999" w14:textId="62481E1A"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inicio de actividades (empresas</w:t>
      </w:r>
      <w:r w:rsidR="00301860" w:rsidRPr="00301860">
        <w:rPr>
          <w:rFonts w:ascii="Century Gothic" w:hAnsi="Century Gothic"/>
          <w:b/>
          <w:color w:val="595959" w:themeColor="text1" w:themeTint="A6"/>
          <w:sz w:val="24"/>
        </w:rPr>
        <w:t>). -</w:t>
      </w:r>
      <w:r w:rsidRPr="00443329">
        <w:rPr>
          <w:rFonts w:ascii="Century Gothic" w:hAnsi="Century Gothic"/>
          <w:color w:val="595959" w:themeColor="text1" w:themeTint="A6"/>
          <w:sz w:val="24"/>
        </w:rPr>
        <w:t xml:space="preserve"> Refiere a la fecha de constitución o creación para el caso de sociedades (documento de constitución), o bien, la fecha que la persona natural se inscribe en el SRI.</w:t>
      </w:r>
    </w:p>
    <w:p w14:paraId="1F900509" w14:textId="68183982"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cese de actividades (empresas</w:t>
      </w:r>
      <w:r w:rsidR="00301860" w:rsidRPr="00301860">
        <w:rPr>
          <w:rFonts w:ascii="Century Gothic" w:hAnsi="Century Gothic"/>
          <w:b/>
          <w:color w:val="595959" w:themeColor="text1" w:themeTint="A6"/>
          <w:sz w:val="24"/>
        </w:rPr>
        <w:t>). -</w:t>
      </w:r>
      <w:r w:rsidRPr="00443329">
        <w:rPr>
          <w:rFonts w:ascii="Century Gothic" w:hAnsi="Century Gothic"/>
          <w:color w:val="595959" w:themeColor="text1" w:themeTint="A6"/>
          <w:sz w:val="24"/>
        </w:rPr>
        <w:t xml:space="preserve"> Se refiere a la fecha de cambio de estado de una sociedad al momento que se acerca a cancelar su registro. La fecha de cancelación aplica de igual manera en el cambio de estado de una persona natural como ‘pasivo’ (fallecido).</w:t>
      </w:r>
    </w:p>
    <w:p w14:paraId="731DE6E2" w14:textId="7CFD6E40"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inscripción en el RUC (empresas</w:t>
      </w:r>
      <w:r w:rsidR="00301860" w:rsidRPr="00301860">
        <w:rPr>
          <w:rFonts w:ascii="Century Gothic" w:hAnsi="Century Gothic"/>
          <w:b/>
          <w:color w:val="595959" w:themeColor="text1" w:themeTint="A6"/>
          <w:sz w:val="24"/>
        </w:rPr>
        <w:t>). -</w:t>
      </w:r>
      <w:r w:rsidRPr="00443329">
        <w:rPr>
          <w:rFonts w:ascii="Century Gothic" w:hAnsi="Century Gothic"/>
          <w:color w:val="595959" w:themeColor="text1" w:themeTint="A6"/>
          <w:sz w:val="24"/>
        </w:rPr>
        <w:t xml:space="preserve"> Se refiere a la fecha de inscripción en el catastro del SRI y la obtención de su Registro Único de Contribuyente (RUC). Es el momento en que se acerca al SRI a realizar la gestión de inscripción.</w:t>
      </w:r>
    </w:p>
    <w:p w14:paraId="5D2F6A48" w14:textId="1320F58E"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reinicio de actividades (empresas</w:t>
      </w:r>
      <w:r w:rsidR="00301860" w:rsidRPr="00301860">
        <w:rPr>
          <w:rFonts w:ascii="Century Gothic" w:hAnsi="Century Gothic"/>
          <w:b/>
          <w:color w:val="595959" w:themeColor="text1" w:themeTint="A6"/>
          <w:sz w:val="24"/>
        </w:rPr>
        <w:t>). -</w:t>
      </w:r>
      <w:r w:rsidRPr="00443329">
        <w:rPr>
          <w:rFonts w:ascii="Century Gothic" w:hAnsi="Century Gothic"/>
          <w:color w:val="595959" w:themeColor="text1" w:themeTint="A6"/>
          <w:sz w:val="24"/>
        </w:rPr>
        <w:t xml:space="preserve"> Se refiere a la fecha o momento en el que la unidad estadística se acerca a reiniciar actividades o activar su RUC nuevamente luego de haber suspendido en algún momento atrás.</w:t>
      </w:r>
    </w:p>
    <w:p w14:paraId="7F0D217F" w14:textId="6C481DE2"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apertura (establecimientos</w:t>
      </w:r>
      <w:r w:rsidR="00301860" w:rsidRPr="00301860">
        <w:rPr>
          <w:rFonts w:ascii="Century Gothic" w:hAnsi="Century Gothic"/>
          <w:b/>
          <w:color w:val="595959" w:themeColor="text1" w:themeTint="A6"/>
          <w:sz w:val="24"/>
        </w:rPr>
        <w:t>). -</w:t>
      </w:r>
      <w:r w:rsidRPr="00443329">
        <w:rPr>
          <w:rFonts w:ascii="Century Gothic" w:hAnsi="Century Gothic"/>
          <w:color w:val="595959" w:themeColor="text1" w:themeTint="A6"/>
          <w:sz w:val="24"/>
        </w:rPr>
        <w:t xml:space="preserve"> Se refiere a la fecha en la que una empresa natural o jurídica registra su apertura.</w:t>
      </w:r>
    </w:p>
    <w:p w14:paraId="35CB0112"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Fecha de cierre (establecimientos).-</w:t>
      </w:r>
      <w:r w:rsidRPr="00443329">
        <w:rPr>
          <w:rFonts w:ascii="Century Gothic" w:hAnsi="Century Gothic"/>
          <w:color w:val="595959" w:themeColor="text1" w:themeTint="A6"/>
          <w:sz w:val="24"/>
        </w:rPr>
        <w:t xml:space="preserve"> Se refiere a la fecha de cierre de cualquier establecimiento.</w:t>
      </w:r>
    </w:p>
    <w:p w14:paraId="47F4D3CC" w14:textId="01748223"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Dirección:</w:t>
      </w:r>
      <w:r w:rsidRPr="00B10D09">
        <w:rPr>
          <w:rFonts w:ascii="Century Gothic" w:hAnsi="Century Gothic"/>
          <w:color w:val="595959" w:themeColor="text1" w:themeTint="A6"/>
          <w:lang w:eastAsia="es-EC"/>
        </w:rPr>
        <w:t xml:space="preserve"> Es un conjunto de datos que permiten localizar a una unidad económica, comúnmente está compuesta de: calle principal, número y calle secundaria. Adicional a </w:t>
      </w:r>
      <w:r w:rsidR="00301860" w:rsidRPr="00B10D09">
        <w:rPr>
          <w:rFonts w:ascii="Century Gothic" w:hAnsi="Century Gothic"/>
          <w:color w:val="595959" w:themeColor="text1" w:themeTint="A6"/>
          <w:lang w:eastAsia="es-EC"/>
        </w:rPr>
        <w:t>estos</w:t>
      </w:r>
      <w:r w:rsidRPr="00B10D09">
        <w:rPr>
          <w:rFonts w:ascii="Century Gothic" w:hAnsi="Century Gothic"/>
          <w:color w:val="595959" w:themeColor="text1" w:themeTint="A6"/>
          <w:lang w:eastAsia="es-EC"/>
        </w:rPr>
        <w:t xml:space="preserve"> datos también se tiene: Ciudadela, Barrio, Manzana; Super manzana; Conjunto, Bloque, Nombre del edificio, Número de piso, Número de oficina, Carretero, Kilómetro, Camino y Referencia de Ubicación.</w:t>
      </w:r>
    </w:p>
    <w:p w14:paraId="6DB12A3D" w14:textId="77777777" w:rsidR="00301860" w:rsidRPr="00B10D09" w:rsidRDefault="00301860" w:rsidP="00301860">
      <w:pPr>
        <w:jc w:val="both"/>
        <w:rPr>
          <w:rFonts w:ascii="Century Gothic" w:hAnsi="Century Gothic"/>
          <w:color w:val="595959" w:themeColor="text1" w:themeTint="A6"/>
          <w:lang w:eastAsia="es-EC"/>
        </w:rPr>
      </w:pPr>
    </w:p>
    <w:p w14:paraId="166E2529" w14:textId="284BADD7"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Empleo registrado en la seguridad social:</w:t>
      </w:r>
      <w:r w:rsidRPr="00B10D09">
        <w:rPr>
          <w:rFonts w:ascii="Century Gothic" w:hAnsi="Century Gothic"/>
          <w:color w:val="595959" w:themeColor="text1" w:themeTint="A6"/>
          <w:lang w:eastAsia="es-EC"/>
        </w:rPr>
        <w:t xml:space="preserve"> Es el conjunto de personas en edad de trabajar que en el año de referencia realizaron una actividad para producir bienes o prestar servicios a cambio de una remuneración o beneficios, que se encuentran registradas en el Instituto Ecuatoriano de Seguridad Social (IESS).</w:t>
      </w:r>
    </w:p>
    <w:p w14:paraId="2BF0B6C6" w14:textId="77777777" w:rsidR="004E3F87" w:rsidRDefault="004E3F87" w:rsidP="00736A29">
      <w:pPr>
        <w:jc w:val="both"/>
        <w:rPr>
          <w:rFonts w:ascii="Century Gothic" w:hAnsi="Century Gothic"/>
          <w:color w:val="595959" w:themeColor="text1" w:themeTint="A6"/>
          <w:lang w:eastAsia="es-EC"/>
        </w:rPr>
      </w:pPr>
    </w:p>
    <w:p w14:paraId="696A3E9B" w14:textId="0E276A19" w:rsidR="004E3F87" w:rsidRDefault="004E3F87" w:rsidP="004E3F87">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 xml:space="preserve">Empleo registrado </w:t>
      </w:r>
      <w:r w:rsidRPr="0057354C">
        <w:rPr>
          <w:rFonts w:ascii="Century Gothic" w:hAnsi="Century Gothic"/>
          <w:b/>
          <w:color w:val="595959" w:themeColor="text1" w:themeTint="A6"/>
          <w:lang w:eastAsia="es-EC"/>
        </w:rPr>
        <w:t>equivalente</w:t>
      </w:r>
      <w:r w:rsidRPr="00B10D09">
        <w:rPr>
          <w:rFonts w:ascii="Century Gothic" w:hAnsi="Century Gothic"/>
          <w:b/>
          <w:color w:val="595959" w:themeColor="text1" w:themeTint="A6"/>
          <w:lang w:eastAsia="es-EC"/>
        </w:rPr>
        <w:t>:</w:t>
      </w:r>
      <w:r w:rsidRPr="00B10D09">
        <w:rPr>
          <w:rFonts w:ascii="Century Gothic" w:hAnsi="Century Gothic"/>
          <w:color w:val="595959" w:themeColor="text1" w:themeTint="A6"/>
          <w:lang w:eastAsia="es-EC"/>
        </w:rPr>
        <w:t xml:space="preserve"> Es el conjunto de personas en edad de trabajar que en el año de referencia realizaron una actividad para producir bienes o prestar servicios a cambio de una remuneración o beneficios, que se encuentran registradas en el Instituto Ecuator</w:t>
      </w:r>
      <w:r>
        <w:rPr>
          <w:rFonts w:ascii="Century Gothic" w:hAnsi="Century Gothic"/>
          <w:color w:val="595959" w:themeColor="text1" w:themeTint="A6"/>
          <w:lang w:eastAsia="es-EC"/>
        </w:rPr>
        <w:t>iano de Seguridad Social (IESS),</w:t>
      </w:r>
      <w:r w:rsidRPr="004E3F87">
        <w:rPr>
          <w:rFonts w:ascii="Century Gothic" w:hAnsi="Century Gothic" w:cs="Calibri"/>
          <w:color w:val="595959" w:themeColor="text1" w:themeTint="A6"/>
          <w:lang w:val="es-ES_tradnl"/>
        </w:rPr>
        <w:t xml:space="preserve"> </w:t>
      </w:r>
      <w:r w:rsidRPr="002A2308">
        <w:rPr>
          <w:rFonts w:ascii="Century Gothic" w:hAnsi="Century Gothic" w:cs="Calibri"/>
          <w:color w:val="595959" w:themeColor="text1" w:themeTint="A6"/>
          <w:lang w:val="es-ES_tradnl"/>
        </w:rPr>
        <w:t xml:space="preserve">se obtiene realizando la sumatoria del </w:t>
      </w:r>
      <w:r>
        <w:rPr>
          <w:rFonts w:ascii="Century Gothic" w:hAnsi="Century Gothic" w:cs="Calibri"/>
          <w:color w:val="595959" w:themeColor="text1" w:themeTint="A6"/>
          <w:lang w:val="es-ES_tradnl"/>
        </w:rPr>
        <w:t>empleo</w:t>
      </w:r>
      <w:r w:rsidRPr="002A2308">
        <w:rPr>
          <w:rFonts w:ascii="Century Gothic" w:hAnsi="Century Gothic" w:cs="Calibri"/>
          <w:color w:val="595959" w:themeColor="text1" w:themeTint="A6"/>
          <w:lang w:val="es-ES_tradnl"/>
        </w:rPr>
        <w:t xml:space="preserve"> reportado y</w:t>
      </w:r>
      <w:r>
        <w:rPr>
          <w:rFonts w:ascii="Century Gothic" w:hAnsi="Century Gothic" w:cs="Calibri"/>
          <w:color w:val="595959" w:themeColor="text1" w:themeTint="A6"/>
          <w:lang w:val="es-ES_tradnl"/>
        </w:rPr>
        <w:t xml:space="preserve"> luego dividido para doce meses.</w:t>
      </w:r>
    </w:p>
    <w:p w14:paraId="7E7472F5" w14:textId="77777777" w:rsidR="004E3F87" w:rsidRDefault="004E3F87" w:rsidP="00736A29">
      <w:pPr>
        <w:jc w:val="both"/>
        <w:rPr>
          <w:rFonts w:ascii="Century Gothic" w:hAnsi="Century Gothic"/>
          <w:color w:val="595959" w:themeColor="text1" w:themeTint="A6"/>
          <w:lang w:eastAsia="es-EC"/>
        </w:rPr>
      </w:pPr>
    </w:p>
    <w:p w14:paraId="1A944687" w14:textId="430FE909"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Empresa pública:</w:t>
      </w:r>
      <w:r w:rsidRPr="00B10D09">
        <w:rPr>
          <w:rFonts w:ascii="Century Gothic" w:hAnsi="Century Gothic"/>
          <w:color w:val="595959" w:themeColor="text1" w:themeTint="A6"/>
          <w:lang w:eastAsia="es-EC"/>
        </w:rPr>
        <w:t xml:space="preserve"> son entidades que pertenecen al Estado en los términos que establece la Constitución de la República, personas jurídicas de derecho público, con patrimonio propio, dotadas de autonomía presupuestaria, financiera, económica, administrativa y de gestión. Estarán destinadas a la gestión de sectores estratégicos, la prestación de servicios públicos, el aprovechamiento sustentable de recursos naturales o de bienes públicos y en general al desarrollo de actividades económicas que corresponde al Estado.</w:t>
      </w:r>
    </w:p>
    <w:p w14:paraId="546BE020" w14:textId="77777777" w:rsidR="00301860" w:rsidRPr="00B10D09" w:rsidRDefault="00301860" w:rsidP="00301860">
      <w:pPr>
        <w:jc w:val="both"/>
        <w:rPr>
          <w:rFonts w:ascii="Century Gothic" w:hAnsi="Century Gothic"/>
          <w:color w:val="595959" w:themeColor="text1" w:themeTint="A6"/>
          <w:lang w:eastAsia="es-EC"/>
        </w:rPr>
      </w:pPr>
    </w:p>
    <w:p w14:paraId="45625819" w14:textId="4D6C59BA"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rPr>
        <w:t>Empresa:</w:t>
      </w:r>
      <w:r w:rsidRPr="00B10D09">
        <w:rPr>
          <w:rFonts w:ascii="Century Gothic" w:hAnsi="Century Gothic"/>
          <w:color w:val="595959" w:themeColor="text1" w:themeTint="A6"/>
        </w:rPr>
        <w:t xml:space="preserve"> </w:t>
      </w:r>
      <w:r w:rsidRPr="00B10D09">
        <w:rPr>
          <w:rFonts w:ascii="Century Gothic" w:hAnsi="Century Gothic"/>
          <w:color w:val="595959" w:themeColor="text1" w:themeTint="A6"/>
          <w:lang w:eastAsia="es-EC"/>
        </w:rPr>
        <w:t>Unidad organizativa que realiza actividades económicas en uno o varios lugares, con autonomía en la toma de decisiones de mercado, financiamiento e inversión. La empresa puede corresponder a una única unidad legal.</w:t>
      </w:r>
    </w:p>
    <w:p w14:paraId="50BB0C76" w14:textId="77777777" w:rsidR="00301860" w:rsidRPr="00B10D09" w:rsidRDefault="00301860" w:rsidP="00301860">
      <w:pPr>
        <w:jc w:val="both"/>
        <w:rPr>
          <w:rFonts w:ascii="Century Gothic" w:hAnsi="Century Gothic"/>
          <w:color w:val="595959" w:themeColor="text1" w:themeTint="A6"/>
          <w:lang w:eastAsia="es-EC"/>
        </w:rPr>
      </w:pPr>
    </w:p>
    <w:p w14:paraId="68DA939E" w14:textId="6EBDDE75"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Empresas activas:</w:t>
      </w:r>
      <w:r w:rsidRPr="00B10D09">
        <w:rPr>
          <w:rFonts w:ascii="Century Gothic" w:hAnsi="Century Gothic"/>
          <w:color w:val="595959" w:themeColor="text1" w:themeTint="A6"/>
          <w:lang w:eastAsia="es-EC"/>
        </w:rPr>
        <w:t xml:space="preserve"> Son empresas u organizaciones que en el periodo de referencia han tenido ventas, o personal ocupado afiliado o son RISE y tienen una actividad económica válida.</w:t>
      </w:r>
    </w:p>
    <w:p w14:paraId="050C1D1A" w14:textId="77777777" w:rsidR="00301860" w:rsidRPr="00B10D09" w:rsidRDefault="00301860" w:rsidP="00301860">
      <w:pPr>
        <w:jc w:val="both"/>
        <w:rPr>
          <w:rFonts w:ascii="Century Gothic" w:hAnsi="Century Gothic"/>
          <w:color w:val="595959" w:themeColor="text1" w:themeTint="A6"/>
          <w:lang w:eastAsia="es-EC"/>
        </w:rPr>
      </w:pPr>
    </w:p>
    <w:p w14:paraId="245DFAC1" w14:textId="329814B4"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Empresa de persona natural no obligada a llevar contabilidad:</w:t>
      </w:r>
      <w:r w:rsidRPr="00B10D09">
        <w:rPr>
          <w:rFonts w:ascii="Century Gothic" w:hAnsi="Century Gothic"/>
          <w:color w:val="595959" w:themeColor="text1" w:themeTint="A6"/>
          <w:lang w:eastAsia="es-EC"/>
        </w:rPr>
        <w:t xml:space="preserve"> son todas las personas nacionales o extranjeras que realizan actividades económicas, constituido como un agente económico con autonomía para adoptar decisiones, que están obligados a inscribirse en el RUC y no están obligados a llevar contabilidad por no cumplir con las condiciones (ingresos mayores a $ 100.000, o que inician con un capital propio mayor a $60.000, o sus costos y gastos han sido mayores a $80.000).</w:t>
      </w:r>
    </w:p>
    <w:p w14:paraId="0F5EFCA2" w14:textId="77777777" w:rsidR="00301860" w:rsidRPr="00B10D09" w:rsidRDefault="00301860" w:rsidP="00301860">
      <w:pPr>
        <w:jc w:val="both"/>
        <w:rPr>
          <w:rFonts w:ascii="Century Gothic" w:hAnsi="Century Gothic"/>
          <w:color w:val="595959" w:themeColor="text1" w:themeTint="A6"/>
          <w:lang w:eastAsia="es-EC"/>
        </w:rPr>
      </w:pPr>
    </w:p>
    <w:p w14:paraId="4469763C" w14:textId="6EE67F74"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Empresa de persona natural obligada a llevar contabilidad:</w:t>
      </w:r>
      <w:r w:rsidRPr="00B10D09">
        <w:rPr>
          <w:rFonts w:ascii="Century Gothic" w:hAnsi="Century Gothic"/>
          <w:color w:val="595959" w:themeColor="text1" w:themeTint="A6"/>
          <w:lang w:eastAsia="es-EC"/>
        </w:rPr>
        <w:t xml:space="preserve"> son todas las personas nacionales o extranjeras que realizan actividades económicas, constituido como un agente económico con autonomía para adoptar decisiones, están obligados a inscribirse en el RUC y cumpliendo las siguientes condiciones están obligados a llevar contabilidad: tener ingresos mayores a $ 100.000, o que inician con un capital propio mayor a $60.000, o sus costos y gastos han sido mayores a$80.000.</w:t>
      </w:r>
    </w:p>
    <w:p w14:paraId="1BB48831" w14:textId="77777777" w:rsidR="00301860" w:rsidRPr="00B10D09" w:rsidRDefault="00301860" w:rsidP="00301860">
      <w:pPr>
        <w:jc w:val="both"/>
        <w:rPr>
          <w:rFonts w:ascii="Century Gothic" w:hAnsi="Century Gothic"/>
          <w:color w:val="595959" w:themeColor="text1" w:themeTint="A6"/>
          <w:lang w:eastAsia="es-EC"/>
        </w:rPr>
      </w:pPr>
    </w:p>
    <w:p w14:paraId="1CE9B783" w14:textId="3102F744"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Empresa constituida en sociedad con fines de lucro:</w:t>
      </w:r>
      <w:r w:rsidRPr="00B10D09">
        <w:rPr>
          <w:rFonts w:ascii="Century Gothic" w:hAnsi="Century Gothic"/>
          <w:color w:val="595959" w:themeColor="text1" w:themeTint="A6"/>
          <w:lang w:eastAsia="es-EC"/>
        </w:rPr>
        <w:t xml:space="preserve"> son personas jurídicas que realizan actividades económicas lícitas amparadas en una figura legal propia. Estas se dividen en privadas y públicas, de acuerdo al documento de creación. </w:t>
      </w:r>
    </w:p>
    <w:p w14:paraId="59D4AD1D" w14:textId="77777777" w:rsidR="00301860" w:rsidRPr="00B10D09" w:rsidRDefault="00301860" w:rsidP="00301860">
      <w:pPr>
        <w:jc w:val="both"/>
        <w:rPr>
          <w:rFonts w:ascii="Century Gothic" w:hAnsi="Century Gothic"/>
          <w:color w:val="595959" w:themeColor="text1" w:themeTint="A6"/>
          <w:lang w:eastAsia="es-EC"/>
        </w:rPr>
      </w:pPr>
    </w:p>
    <w:p w14:paraId="1D6EB506" w14:textId="7A6C9948" w:rsidR="00583347" w:rsidRDefault="00583347" w:rsidP="00736A29">
      <w:pPr>
        <w:jc w:val="both"/>
        <w:rPr>
          <w:rFonts w:ascii="Century Gothic" w:hAnsi="Century Gothic"/>
          <w:color w:val="595959" w:themeColor="text1" w:themeTint="A6"/>
          <w:lang w:eastAsia="es-EC"/>
        </w:rPr>
      </w:pPr>
      <w:r>
        <w:rPr>
          <w:rFonts w:ascii="Century Gothic" w:hAnsi="Century Gothic"/>
          <w:b/>
          <w:color w:val="595959" w:themeColor="text1" w:themeTint="A6"/>
          <w:lang w:eastAsia="es-EC"/>
        </w:rPr>
        <w:t xml:space="preserve">Encuesta Estructural Empresarial: </w:t>
      </w:r>
      <w:r w:rsidR="00144C9D" w:rsidRPr="00144C9D">
        <w:rPr>
          <w:rFonts w:ascii="Century Gothic" w:hAnsi="Century Gothic"/>
          <w:color w:val="595959" w:themeColor="text1" w:themeTint="A6"/>
          <w:lang w:eastAsia="es-EC"/>
        </w:rPr>
        <w:t>g</w:t>
      </w:r>
      <w:r w:rsidRPr="00144C9D">
        <w:rPr>
          <w:rFonts w:ascii="Century Gothic" w:hAnsi="Century Gothic"/>
          <w:color w:val="595959" w:themeColor="text1" w:themeTint="A6"/>
          <w:lang w:eastAsia="es-EC"/>
        </w:rPr>
        <w:t>enera información estadística sobre la estructura y evolución de las actividades económicas categorizadas según secciones de la Clasificación Industrial Internacional Uniforme (CIIU) para las empresas grandes y medianas del Ecuador, calcula agregados económicos como la producción, consumo intermedio, valor agregado; entre otras. Así también, presenta información sobre materias primas y productos elaborados, mercaderías y servicios vendidos, uso de tecnologías y comunicación (TIC) en las empresas e información de establecimientos.</w:t>
      </w:r>
    </w:p>
    <w:p w14:paraId="33415B17" w14:textId="77777777" w:rsidR="00144C9D" w:rsidRDefault="00144C9D" w:rsidP="00736A29">
      <w:pPr>
        <w:jc w:val="both"/>
        <w:rPr>
          <w:rFonts w:ascii="Century Gothic" w:hAnsi="Century Gothic"/>
          <w:b/>
          <w:color w:val="595959" w:themeColor="text1" w:themeTint="A6"/>
          <w:lang w:eastAsia="es-EC"/>
        </w:rPr>
      </w:pPr>
    </w:p>
    <w:p w14:paraId="049B0A2B" w14:textId="28DCCCE1" w:rsidR="0030186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Establecimiento:</w:t>
      </w:r>
      <w:r w:rsidRPr="00B10D09">
        <w:rPr>
          <w:rFonts w:ascii="Century Gothic" w:hAnsi="Century Gothic"/>
          <w:color w:val="595959" w:themeColor="text1" w:themeTint="A6"/>
          <w:lang w:eastAsia="es-EC"/>
        </w:rPr>
        <w:t xml:space="preserve"> se define la parte de una empresa </w:t>
      </w:r>
      <w:r w:rsidRPr="00B10D09">
        <w:rPr>
          <w:rFonts w:ascii="Century Gothic" w:hAnsi="Century Gothic"/>
          <w:color w:val="595959" w:themeColor="text1" w:themeTint="A6"/>
        </w:rPr>
        <w:t>ubicada en un lugar delimitado topográficamente. En dicho lugar, o a partir de él, la empresa ejerce sus actividades productivas.</w:t>
      </w:r>
      <w:r w:rsidRPr="00B10D09">
        <w:rPr>
          <w:rFonts w:ascii="Century Gothic" w:hAnsi="Century Gothic"/>
          <w:color w:val="595959" w:themeColor="text1" w:themeTint="A6"/>
          <w:lang w:eastAsia="es-EC"/>
        </w:rPr>
        <w:t xml:space="preserve"> </w:t>
      </w:r>
    </w:p>
    <w:p w14:paraId="39AC8A49" w14:textId="77777777" w:rsidR="00301860" w:rsidRDefault="00301860" w:rsidP="00301860">
      <w:pPr>
        <w:jc w:val="both"/>
        <w:rPr>
          <w:rFonts w:ascii="Century Gothic" w:hAnsi="Century Gothic"/>
          <w:color w:val="595959" w:themeColor="text1" w:themeTint="A6"/>
          <w:lang w:eastAsia="es-EC"/>
        </w:rPr>
      </w:pPr>
    </w:p>
    <w:p w14:paraId="4D31DCA7" w14:textId="59FCF90F" w:rsidR="00492810" w:rsidRDefault="00492810" w:rsidP="00301860">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Estado:</w:t>
      </w:r>
      <w:r w:rsidRPr="00B10D09">
        <w:rPr>
          <w:rFonts w:ascii="Century Gothic" w:hAnsi="Century Gothic"/>
          <w:color w:val="595959" w:themeColor="text1" w:themeTint="A6"/>
          <w:lang w:eastAsia="es-EC"/>
        </w:rPr>
        <w:t xml:space="preserve"> Determina si una unidad económica está operando (activa) o está sin operación (pasiva).</w:t>
      </w:r>
    </w:p>
    <w:p w14:paraId="58EB89B7" w14:textId="77777777" w:rsidR="00301860" w:rsidRPr="00B10D09" w:rsidRDefault="00301860" w:rsidP="00301860">
      <w:pPr>
        <w:jc w:val="both"/>
        <w:rPr>
          <w:rFonts w:ascii="Century Gothic" w:hAnsi="Century Gothic"/>
          <w:color w:val="595959" w:themeColor="text1" w:themeTint="A6"/>
          <w:lang w:eastAsia="es-EC"/>
        </w:rPr>
      </w:pPr>
    </w:p>
    <w:p w14:paraId="0CEAD820" w14:textId="793621A1"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Estratos de Ventas:</w:t>
      </w:r>
      <w:r w:rsidRPr="00B10D09">
        <w:rPr>
          <w:rFonts w:ascii="Century Gothic" w:hAnsi="Century Gothic"/>
          <w:color w:val="595959" w:themeColor="text1" w:themeTint="A6"/>
          <w:lang w:eastAsia="es-EC"/>
        </w:rPr>
        <w:t xml:space="preserve"> Corresponde a la división en rangos de ventas emitida por la Comunidad Andina de Naciones (CAN) que permite tener un panorama del tamaño de las empresas. Los estratos son los siguientes:</w:t>
      </w:r>
    </w:p>
    <w:p w14:paraId="2CB50484" w14:textId="77777777" w:rsidR="001056B6" w:rsidRDefault="001056B6" w:rsidP="00443329">
      <w:pPr>
        <w:jc w:val="both"/>
        <w:rPr>
          <w:rFonts w:ascii="Century Gothic" w:hAnsi="Century Gothic"/>
          <w:color w:val="595959" w:themeColor="text1" w:themeTint="A6"/>
          <w:lang w:eastAsia="es-EC"/>
        </w:rPr>
      </w:pP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2"/>
        <w:gridCol w:w="2976"/>
      </w:tblGrid>
      <w:tr w:rsidR="00CF0C1E" w:rsidRPr="00B10D09" w14:paraId="2CE35992" w14:textId="77777777" w:rsidTr="00492810">
        <w:trPr>
          <w:trHeight w:val="510"/>
          <w:jc w:val="center"/>
        </w:trPr>
        <w:tc>
          <w:tcPr>
            <w:tcW w:w="3302" w:type="dxa"/>
            <w:shd w:val="clear" w:color="auto" w:fill="1F3864" w:themeFill="accent1" w:themeFillShade="80"/>
            <w:vAlign w:val="center"/>
            <w:hideMark/>
          </w:tcPr>
          <w:p w14:paraId="2871F4DB" w14:textId="77777777" w:rsidR="00492810" w:rsidRPr="00443329" w:rsidRDefault="00492810" w:rsidP="00CF0C1E">
            <w:pPr>
              <w:jc w:val="center"/>
              <w:rPr>
                <w:rFonts w:ascii="Century Gothic" w:hAnsi="Century Gothic"/>
                <w:b/>
                <w:color w:val="FFFFFF" w:themeColor="background1"/>
              </w:rPr>
            </w:pPr>
            <w:r w:rsidRPr="00443329">
              <w:rPr>
                <w:rFonts w:ascii="Century Gothic" w:hAnsi="Century Gothic"/>
                <w:b/>
                <w:color w:val="FFFFFF" w:themeColor="background1"/>
              </w:rPr>
              <w:t>Estratos</w:t>
            </w:r>
          </w:p>
        </w:tc>
        <w:tc>
          <w:tcPr>
            <w:tcW w:w="2976" w:type="dxa"/>
            <w:shd w:val="clear" w:color="auto" w:fill="1F3864" w:themeFill="accent1" w:themeFillShade="80"/>
            <w:vAlign w:val="center"/>
            <w:hideMark/>
          </w:tcPr>
          <w:p w14:paraId="36CB35FF"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Ventas totales</w:t>
            </w:r>
          </w:p>
        </w:tc>
      </w:tr>
      <w:tr w:rsidR="00CF0C1E" w:rsidRPr="00B10D09" w14:paraId="1204F8E3" w14:textId="77777777" w:rsidTr="00492810">
        <w:trPr>
          <w:trHeight w:val="605"/>
          <w:jc w:val="center"/>
        </w:trPr>
        <w:tc>
          <w:tcPr>
            <w:tcW w:w="3302" w:type="dxa"/>
            <w:shd w:val="clear" w:color="000000" w:fill="FFFFFF"/>
            <w:vAlign w:val="center"/>
          </w:tcPr>
          <w:p w14:paraId="28EFF907"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Estrato I</w:t>
            </w:r>
          </w:p>
        </w:tc>
        <w:tc>
          <w:tcPr>
            <w:tcW w:w="2976" w:type="dxa"/>
            <w:shd w:val="clear" w:color="000000" w:fill="FFFFFF"/>
            <w:vAlign w:val="center"/>
          </w:tcPr>
          <w:p w14:paraId="193143DB"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&lt;= 100.000</w:t>
            </w:r>
          </w:p>
        </w:tc>
      </w:tr>
      <w:tr w:rsidR="00CF0C1E" w:rsidRPr="00B10D09" w14:paraId="395C2DD7" w14:textId="77777777" w:rsidTr="00492810">
        <w:trPr>
          <w:trHeight w:val="605"/>
          <w:jc w:val="center"/>
        </w:trPr>
        <w:tc>
          <w:tcPr>
            <w:tcW w:w="3302" w:type="dxa"/>
            <w:shd w:val="clear" w:color="000000" w:fill="FFFFFF"/>
            <w:vAlign w:val="center"/>
          </w:tcPr>
          <w:p w14:paraId="63CCC526"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Estrato II</w:t>
            </w:r>
          </w:p>
        </w:tc>
        <w:tc>
          <w:tcPr>
            <w:tcW w:w="2976" w:type="dxa"/>
            <w:shd w:val="clear" w:color="000000" w:fill="FFFFFF"/>
            <w:vAlign w:val="center"/>
          </w:tcPr>
          <w:p w14:paraId="41B434D9"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100.001 – 1.000.000</w:t>
            </w:r>
          </w:p>
        </w:tc>
      </w:tr>
      <w:tr w:rsidR="00CF0C1E" w:rsidRPr="00B10D09" w14:paraId="77F5D096" w14:textId="77777777" w:rsidTr="00492810">
        <w:trPr>
          <w:trHeight w:val="605"/>
          <w:jc w:val="center"/>
        </w:trPr>
        <w:tc>
          <w:tcPr>
            <w:tcW w:w="3302" w:type="dxa"/>
            <w:shd w:val="clear" w:color="000000" w:fill="FFFFFF"/>
            <w:vAlign w:val="center"/>
          </w:tcPr>
          <w:p w14:paraId="2057761C"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Estrato III</w:t>
            </w:r>
          </w:p>
        </w:tc>
        <w:tc>
          <w:tcPr>
            <w:tcW w:w="2976" w:type="dxa"/>
            <w:shd w:val="clear" w:color="000000" w:fill="FFFFFF"/>
            <w:vAlign w:val="center"/>
          </w:tcPr>
          <w:p w14:paraId="565AE451"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1.000.001 – 2.000.000</w:t>
            </w:r>
          </w:p>
        </w:tc>
      </w:tr>
      <w:tr w:rsidR="00CF0C1E" w:rsidRPr="00B10D09" w14:paraId="46D77FF9" w14:textId="77777777" w:rsidTr="00492810">
        <w:trPr>
          <w:trHeight w:val="605"/>
          <w:jc w:val="center"/>
        </w:trPr>
        <w:tc>
          <w:tcPr>
            <w:tcW w:w="3302" w:type="dxa"/>
            <w:shd w:val="clear" w:color="000000" w:fill="FFFFFF"/>
            <w:vAlign w:val="center"/>
          </w:tcPr>
          <w:p w14:paraId="2C50108A"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Estrato IV</w:t>
            </w:r>
          </w:p>
        </w:tc>
        <w:tc>
          <w:tcPr>
            <w:tcW w:w="2976" w:type="dxa"/>
            <w:shd w:val="clear" w:color="000000" w:fill="FFFFFF"/>
            <w:vAlign w:val="center"/>
          </w:tcPr>
          <w:p w14:paraId="16975654"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2.000.001 – 5.000.000</w:t>
            </w:r>
          </w:p>
        </w:tc>
      </w:tr>
      <w:tr w:rsidR="00CF0C1E" w:rsidRPr="00B10D09" w14:paraId="3815CDDE" w14:textId="77777777" w:rsidTr="00492810">
        <w:trPr>
          <w:trHeight w:val="605"/>
          <w:jc w:val="center"/>
        </w:trPr>
        <w:tc>
          <w:tcPr>
            <w:tcW w:w="3302" w:type="dxa"/>
            <w:shd w:val="clear" w:color="000000" w:fill="FFFFFF"/>
            <w:vAlign w:val="center"/>
          </w:tcPr>
          <w:p w14:paraId="54555AC8"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Estrato V</w:t>
            </w:r>
          </w:p>
        </w:tc>
        <w:tc>
          <w:tcPr>
            <w:tcW w:w="2976" w:type="dxa"/>
            <w:shd w:val="clear" w:color="000000" w:fill="FFFFFF"/>
            <w:vAlign w:val="center"/>
          </w:tcPr>
          <w:p w14:paraId="69889700"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&gt;=5.000.001</w:t>
            </w:r>
          </w:p>
        </w:tc>
      </w:tr>
    </w:tbl>
    <w:p w14:paraId="37878295" w14:textId="2C936A25" w:rsidR="00492810" w:rsidRDefault="00492810" w:rsidP="001056B6">
      <w:pPr>
        <w:rPr>
          <w:rFonts w:ascii="Century Gothic" w:hAnsi="Century Gothic"/>
          <w:color w:val="595959" w:themeColor="text1" w:themeTint="A6"/>
          <w:sz w:val="16"/>
          <w:szCs w:val="16"/>
        </w:rPr>
      </w:pPr>
      <w:r w:rsidRPr="00443329">
        <w:rPr>
          <w:rFonts w:ascii="Century Gothic" w:hAnsi="Century Gothic"/>
          <w:color w:val="595959" w:themeColor="text1" w:themeTint="A6"/>
          <w:sz w:val="16"/>
          <w:szCs w:val="16"/>
        </w:rPr>
        <w:t>Nota: La Comunidad Andina de Naciones define los estratos del I al IV, el INEC incorpora el estrato V</w:t>
      </w:r>
    </w:p>
    <w:p w14:paraId="2E5BD0F4" w14:textId="136BED5F" w:rsidR="00634AD4" w:rsidRDefault="00634AD4" w:rsidP="001056B6">
      <w:pPr>
        <w:rPr>
          <w:rFonts w:ascii="Century Gothic" w:hAnsi="Century Gothic"/>
          <w:color w:val="595959" w:themeColor="text1" w:themeTint="A6"/>
          <w:sz w:val="16"/>
          <w:szCs w:val="16"/>
        </w:rPr>
      </w:pPr>
    </w:p>
    <w:p w14:paraId="342BA395" w14:textId="73C6CCB2" w:rsidR="00634AD4" w:rsidRDefault="00634AD4" w:rsidP="00634AD4">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Estratos de Ventas</w:t>
      </w:r>
      <w:r>
        <w:rPr>
          <w:rFonts w:ascii="Century Gothic" w:hAnsi="Century Gothic"/>
          <w:b/>
          <w:color w:val="595959" w:themeColor="text1" w:themeTint="A6"/>
          <w:lang w:eastAsia="es-EC"/>
        </w:rPr>
        <w:t xml:space="preserve"> COP</w:t>
      </w:r>
      <w:r w:rsidRPr="00B10D09">
        <w:rPr>
          <w:rFonts w:ascii="Century Gothic" w:hAnsi="Century Gothic"/>
          <w:b/>
          <w:color w:val="595959" w:themeColor="text1" w:themeTint="A6"/>
          <w:lang w:eastAsia="es-EC"/>
        </w:rPr>
        <w:t>:</w:t>
      </w:r>
      <w:r w:rsidRPr="00B10D09">
        <w:rPr>
          <w:rFonts w:ascii="Century Gothic" w:hAnsi="Century Gothic"/>
          <w:color w:val="595959" w:themeColor="text1" w:themeTint="A6"/>
          <w:lang w:eastAsia="es-EC"/>
        </w:rPr>
        <w:t xml:space="preserve"> Corresponde a la división en rangos de ventas </w:t>
      </w:r>
      <w:r>
        <w:rPr>
          <w:rFonts w:ascii="Century Gothic" w:hAnsi="Century Gothic"/>
          <w:color w:val="595959" w:themeColor="text1" w:themeTint="A6"/>
          <w:lang w:eastAsia="es-EC"/>
        </w:rPr>
        <w:t xml:space="preserve">definidos en el artículo 106 del Reglamento de Inversiones del Código Orgánico de la Producción, Comercio e Inversiones. </w:t>
      </w:r>
      <w:r w:rsidRPr="00B10D09">
        <w:rPr>
          <w:rFonts w:ascii="Century Gothic" w:hAnsi="Century Gothic"/>
          <w:color w:val="595959" w:themeColor="text1" w:themeTint="A6"/>
          <w:lang w:eastAsia="es-EC"/>
        </w:rPr>
        <w:t>Los estratos son los siguientes:</w:t>
      </w:r>
    </w:p>
    <w:p w14:paraId="7A30108A" w14:textId="77777777" w:rsidR="00634AD4" w:rsidRPr="00B10D09" w:rsidRDefault="00634AD4" w:rsidP="00634AD4">
      <w:pPr>
        <w:jc w:val="both"/>
        <w:rPr>
          <w:rFonts w:ascii="Century Gothic" w:hAnsi="Century Gothic"/>
          <w:color w:val="595959" w:themeColor="text1" w:themeTint="A6"/>
          <w:lang w:eastAsia="es-EC"/>
        </w:rPr>
      </w:pP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2"/>
        <w:gridCol w:w="2976"/>
      </w:tblGrid>
      <w:tr w:rsidR="00634AD4" w:rsidRPr="00B10D09" w14:paraId="64E358D2" w14:textId="77777777" w:rsidTr="00144C9D">
        <w:trPr>
          <w:trHeight w:val="510"/>
          <w:tblHeader/>
          <w:jc w:val="center"/>
        </w:trPr>
        <w:tc>
          <w:tcPr>
            <w:tcW w:w="3302" w:type="dxa"/>
            <w:shd w:val="clear" w:color="auto" w:fill="1F3864" w:themeFill="accent1" w:themeFillShade="80"/>
            <w:vAlign w:val="center"/>
            <w:hideMark/>
          </w:tcPr>
          <w:p w14:paraId="20F77040" w14:textId="77777777" w:rsidR="00634AD4" w:rsidRPr="00443329" w:rsidRDefault="00634AD4" w:rsidP="00932569">
            <w:pPr>
              <w:jc w:val="center"/>
              <w:rPr>
                <w:rFonts w:ascii="Century Gothic" w:hAnsi="Century Gothic"/>
                <w:b/>
                <w:color w:val="FFFFFF" w:themeColor="background1"/>
              </w:rPr>
            </w:pPr>
            <w:r w:rsidRPr="00443329">
              <w:rPr>
                <w:rFonts w:ascii="Century Gothic" w:hAnsi="Century Gothic"/>
                <w:b/>
                <w:color w:val="FFFFFF" w:themeColor="background1"/>
              </w:rPr>
              <w:t>Estratos</w:t>
            </w:r>
          </w:p>
        </w:tc>
        <w:tc>
          <w:tcPr>
            <w:tcW w:w="2976" w:type="dxa"/>
            <w:shd w:val="clear" w:color="auto" w:fill="1F3864" w:themeFill="accent1" w:themeFillShade="80"/>
            <w:vAlign w:val="center"/>
            <w:hideMark/>
          </w:tcPr>
          <w:p w14:paraId="4F9A134D" w14:textId="77777777" w:rsidR="00634AD4" w:rsidRPr="00443329" w:rsidRDefault="00634AD4" w:rsidP="00932569">
            <w:pPr>
              <w:jc w:val="center"/>
              <w:rPr>
                <w:rFonts w:ascii="Century Gothic" w:hAnsi="Century Gothic"/>
                <w:b/>
                <w:color w:val="FFFFFF" w:themeColor="background1"/>
                <w:szCs w:val="22"/>
              </w:rPr>
            </w:pPr>
            <w:r w:rsidRPr="00443329">
              <w:rPr>
                <w:rFonts w:ascii="Century Gothic" w:hAnsi="Century Gothic"/>
                <w:b/>
                <w:color w:val="FFFFFF" w:themeColor="background1"/>
              </w:rPr>
              <w:t>Ventas totales</w:t>
            </w:r>
          </w:p>
        </w:tc>
      </w:tr>
      <w:tr w:rsidR="00634AD4" w:rsidRPr="00B10D09" w14:paraId="333EC795" w14:textId="77777777" w:rsidTr="00932569">
        <w:trPr>
          <w:trHeight w:val="605"/>
          <w:jc w:val="center"/>
        </w:trPr>
        <w:tc>
          <w:tcPr>
            <w:tcW w:w="3302" w:type="dxa"/>
            <w:shd w:val="clear" w:color="000000" w:fill="FFFFFF"/>
            <w:vAlign w:val="center"/>
          </w:tcPr>
          <w:p w14:paraId="00D3670E" w14:textId="77777777" w:rsidR="00634AD4" w:rsidRPr="00443329" w:rsidRDefault="00634AD4"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w:t>
            </w:r>
          </w:p>
        </w:tc>
        <w:tc>
          <w:tcPr>
            <w:tcW w:w="2976" w:type="dxa"/>
            <w:shd w:val="clear" w:color="000000" w:fill="FFFFFF"/>
            <w:vAlign w:val="center"/>
          </w:tcPr>
          <w:p w14:paraId="492533BD" w14:textId="14B9DC35" w:rsidR="00634AD4" w:rsidRPr="00443329" w:rsidRDefault="00634AD4" w:rsidP="00932569">
            <w:pPr>
              <w:jc w:val="center"/>
              <w:rPr>
                <w:rFonts w:ascii="Century Gothic" w:hAnsi="Century Gothic"/>
                <w:color w:val="595959" w:themeColor="text1" w:themeTint="A6"/>
                <w:szCs w:val="22"/>
              </w:rPr>
            </w:pPr>
            <w:r>
              <w:rPr>
                <w:rFonts w:ascii="Century Gothic" w:hAnsi="Century Gothic"/>
                <w:color w:val="595959" w:themeColor="text1" w:themeTint="A6"/>
              </w:rPr>
              <w:t>&lt;= 3</w:t>
            </w:r>
            <w:r w:rsidRPr="00443329">
              <w:rPr>
                <w:rFonts w:ascii="Century Gothic" w:hAnsi="Century Gothic"/>
                <w:color w:val="595959" w:themeColor="text1" w:themeTint="A6"/>
              </w:rPr>
              <w:t>00.000</w:t>
            </w:r>
          </w:p>
        </w:tc>
      </w:tr>
      <w:tr w:rsidR="00634AD4" w:rsidRPr="00B10D09" w14:paraId="211BFCB7" w14:textId="77777777" w:rsidTr="00932569">
        <w:trPr>
          <w:trHeight w:val="605"/>
          <w:jc w:val="center"/>
        </w:trPr>
        <w:tc>
          <w:tcPr>
            <w:tcW w:w="3302" w:type="dxa"/>
            <w:shd w:val="clear" w:color="000000" w:fill="FFFFFF"/>
            <w:vAlign w:val="center"/>
          </w:tcPr>
          <w:p w14:paraId="0A7B6FFB" w14:textId="77777777" w:rsidR="00634AD4" w:rsidRPr="00443329" w:rsidRDefault="00634AD4"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II</w:t>
            </w:r>
          </w:p>
        </w:tc>
        <w:tc>
          <w:tcPr>
            <w:tcW w:w="2976" w:type="dxa"/>
            <w:shd w:val="clear" w:color="000000" w:fill="FFFFFF"/>
            <w:vAlign w:val="center"/>
          </w:tcPr>
          <w:p w14:paraId="3C83A349" w14:textId="6E22822B" w:rsidR="00634AD4" w:rsidRPr="00443329" w:rsidRDefault="00634AD4" w:rsidP="00932569">
            <w:pPr>
              <w:jc w:val="center"/>
              <w:rPr>
                <w:rFonts w:ascii="Century Gothic" w:hAnsi="Century Gothic"/>
                <w:color w:val="595959" w:themeColor="text1" w:themeTint="A6"/>
                <w:szCs w:val="22"/>
              </w:rPr>
            </w:pPr>
            <w:r>
              <w:rPr>
                <w:rFonts w:ascii="Century Gothic" w:hAnsi="Century Gothic"/>
                <w:color w:val="595959" w:themeColor="text1" w:themeTint="A6"/>
              </w:rPr>
              <w:t>3</w:t>
            </w:r>
            <w:r w:rsidRPr="00443329">
              <w:rPr>
                <w:rFonts w:ascii="Century Gothic" w:hAnsi="Century Gothic"/>
                <w:color w:val="595959" w:themeColor="text1" w:themeTint="A6"/>
              </w:rPr>
              <w:t>00.001 – 1.000.000</w:t>
            </w:r>
          </w:p>
        </w:tc>
      </w:tr>
      <w:tr w:rsidR="00634AD4" w:rsidRPr="00B10D09" w14:paraId="7F21B5D2" w14:textId="77777777" w:rsidTr="00932569">
        <w:trPr>
          <w:trHeight w:val="605"/>
          <w:jc w:val="center"/>
        </w:trPr>
        <w:tc>
          <w:tcPr>
            <w:tcW w:w="3302" w:type="dxa"/>
            <w:shd w:val="clear" w:color="000000" w:fill="FFFFFF"/>
            <w:vAlign w:val="center"/>
          </w:tcPr>
          <w:p w14:paraId="49BAC01D" w14:textId="77777777" w:rsidR="00634AD4" w:rsidRPr="00443329" w:rsidRDefault="00634AD4"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III</w:t>
            </w:r>
          </w:p>
        </w:tc>
        <w:tc>
          <w:tcPr>
            <w:tcW w:w="2976" w:type="dxa"/>
            <w:shd w:val="clear" w:color="000000" w:fill="FFFFFF"/>
            <w:vAlign w:val="center"/>
          </w:tcPr>
          <w:p w14:paraId="1C68E4E4" w14:textId="6EA06891" w:rsidR="00634AD4" w:rsidRPr="00443329" w:rsidRDefault="00634AD4" w:rsidP="00932569">
            <w:pPr>
              <w:jc w:val="center"/>
              <w:rPr>
                <w:rFonts w:ascii="Century Gothic" w:hAnsi="Century Gothic"/>
                <w:color w:val="595959" w:themeColor="text1" w:themeTint="A6"/>
                <w:szCs w:val="22"/>
              </w:rPr>
            </w:pPr>
            <w:r>
              <w:rPr>
                <w:rFonts w:ascii="Century Gothic" w:hAnsi="Century Gothic"/>
                <w:color w:val="595959" w:themeColor="text1" w:themeTint="A6"/>
              </w:rPr>
              <w:t>1.000.001 – 5</w:t>
            </w:r>
            <w:r w:rsidRPr="00443329">
              <w:rPr>
                <w:rFonts w:ascii="Century Gothic" w:hAnsi="Century Gothic"/>
                <w:color w:val="595959" w:themeColor="text1" w:themeTint="A6"/>
              </w:rPr>
              <w:t>.000.000</w:t>
            </w:r>
          </w:p>
        </w:tc>
      </w:tr>
      <w:tr w:rsidR="00634AD4" w:rsidRPr="00B10D09" w14:paraId="60F2F07D" w14:textId="77777777" w:rsidTr="00932569">
        <w:trPr>
          <w:trHeight w:val="605"/>
          <w:jc w:val="center"/>
        </w:trPr>
        <w:tc>
          <w:tcPr>
            <w:tcW w:w="3302" w:type="dxa"/>
            <w:shd w:val="clear" w:color="000000" w:fill="FFFFFF"/>
            <w:vAlign w:val="center"/>
          </w:tcPr>
          <w:p w14:paraId="6022369C" w14:textId="1AD87A57" w:rsidR="00634AD4" w:rsidRPr="00443329" w:rsidRDefault="00634AD4" w:rsidP="00932569">
            <w:pPr>
              <w:jc w:val="center"/>
              <w:rPr>
                <w:rFonts w:ascii="Century Gothic" w:hAnsi="Century Gothic"/>
                <w:color w:val="595959" w:themeColor="text1" w:themeTint="A6"/>
              </w:rPr>
            </w:pPr>
            <w:r w:rsidRPr="00443329">
              <w:rPr>
                <w:rFonts w:ascii="Century Gothic" w:hAnsi="Century Gothic"/>
                <w:color w:val="595959" w:themeColor="text1" w:themeTint="A6"/>
              </w:rPr>
              <w:t xml:space="preserve">Estrato </w:t>
            </w:r>
            <w:r>
              <w:rPr>
                <w:rFonts w:ascii="Century Gothic" w:hAnsi="Century Gothic"/>
                <w:color w:val="595959" w:themeColor="text1" w:themeTint="A6"/>
              </w:rPr>
              <w:t>I</w:t>
            </w:r>
            <w:r w:rsidRPr="00443329">
              <w:rPr>
                <w:rFonts w:ascii="Century Gothic" w:hAnsi="Century Gothic"/>
                <w:color w:val="595959" w:themeColor="text1" w:themeTint="A6"/>
              </w:rPr>
              <w:t>V</w:t>
            </w:r>
          </w:p>
        </w:tc>
        <w:tc>
          <w:tcPr>
            <w:tcW w:w="2976" w:type="dxa"/>
            <w:shd w:val="clear" w:color="000000" w:fill="FFFFFF"/>
            <w:vAlign w:val="center"/>
          </w:tcPr>
          <w:p w14:paraId="1B95E806" w14:textId="77777777" w:rsidR="00634AD4" w:rsidRPr="00443329" w:rsidRDefault="00634AD4"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&gt;=5.000.001</w:t>
            </w:r>
          </w:p>
        </w:tc>
      </w:tr>
    </w:tbl>
    <w:p w14:paraId="79DF1F81" w14:textId="5A756202" w:rsidR="001B1105" w:rsidRDefault="001B1105" w:rsidP="00301860">
      <w:pPr>
        <w:jc w:val="both"/>
        <w:rPr>
          <w:rFonts w:ascii="Century Gothic" w:hAnsi="Century Gothic"/>
          <w:b/>
          <w:color w:val="595959" w:themeColor="text1" w:themeTint="A6"/>
          <w:szCs w:val="20"/>
          <w:lang w:eastAsia="es-EC"/>
        </w:rPr>
      </w:pPr>
    </w:p>
    <w:p w14:paraId="64A96C29" w14:textId="44D2633D"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Estratos de personal ocupado - afiliado:</w:t>
      </w:r>
      <w:r w:rsidRPr="00B10D09">
        <w:rPr>
          <w:rFonts w:ascii="Century Gothic" w:hAnsi="Century Gothic"/>
          <w:color w:val="595959" w:themeColor="text1" w:themeTint="A6"/>
          <w:lang w:eastAsia="es-EC"/>
        </w:rPr>
        <w:t xml:space="preserve"> Corresponde a la división en rangos de personal afiliado emitida por la Comunidad Andina de Naciones (CAN) que permite tener un panorama del tamaño de las empresas. Los estratos son los siguientes:</w:t>
      </w:r>
    </w:p>
    <w:p w14:paraId="5635F872" w14:textId="77777777" w:rsidR="00301860" w:rsidRPr="00B10D09" w:rsidRDefault="00301860" w:rsidP="00301860">
      <w:pPr>
        <w:jc w:val="both"/>
        <w:rPr>
          <w:rFonts w:ascii="Century Gothic" w:hAnsi="Century Gothic"/>
          <w:color w:val="595959" w:themeColor="text1" w:themeTint="A6"/>
          <w:lang w:eastAsia="es-EC"/>
        </w:rPr>
      </w:pP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2"/>
        <w:gridCol w:w="2976"/>
      </w:tblGrid>
      <w:tr w:rsidR="00CF0C1E" w:rsidRPr="00B10D09" w14:paraId="30CF8ECD" w14:textId="77777777" w:rsidTr="00492810">
        <w:trPr>
          <w:trHeight w:val="510"/>
          <w:jc w:val="center"/>
        </w:trPr>
        <w:tc>
          <w:tcPr>
            <w:tcW w:w="3302" w:type="dxa"/>
            <w:shd w:val="clear" w:color="auto" w:fill="1F3864" w:themeFill="accent1" w:themeFillShade="80"/>
            <w:vAlign w:val="center"/>
            <w:hideMark/>
          </w:tcPr>
          <w:p w14:paraId="52A75F86" w14:textId="77777777" w:rsidR="00492810" w:rsidRPr="00443329" w:rsidRDefault="00492810" w:rsidP="00CF0C1E">
            <w:pPr>
              <w:jc w:val="center"/>
              <w:rPr>
                <w:rFonts w:ascii="Century Gothic" w:hAnsi="Century Gothic"/>
                <w:b/>
                <w:color w:val="FFFFFF" w:themeColor="background1"/>
              </w:rPr>
            </w:pPr>
            <w:r w:rsidRPr="00443329">
              <w:rPr>
                <w:rFonts w:ascii="Century Gothic" w:hAnsi="Century Gothic"/>
                <w:b/>
                <w:color w:val="FFFFFF" w:themeColor="background1"/>
              </w:rPr>
              <w:t>Estratos</w:t>
            </w:r>
          </w:p>
        </w:tc>
        <w:tc>
          <w:tcPr>
            <w:tcW w:w="2976" w:type="dxa"/>
            <w:shd w:val="clear" w:color="auto" w:fill="1F3864" w:themeFill="accent1" w:themeFillShade="80"/>
            <w:vAlign w:val="center"/>
            <w:hideMark/>
          </w:tcPr>
          <w:p w14:paraId="7A087077"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Número de personas ocupadas</w:t>
            </w:r>
          </w:p>
        </w:tc>
      </w:tr>
      <w:tr w:rsidR="00CF0C1E" w:rsidRPr="00B10D09" w14:paraId="3539B81D" w14:textId="77777777" w:rsidTr="00492810">
        <w:trPr>
          <w:trHeight w:val="605"/>
          <w:jc w:val="center"/>
        </w:trPr>
        <w:tc>
          <w:tcPr>
            <w:tcW w:w="3302" w:type="dxa"/>
            <w:shd w:val="clear" w:color="000000" w:fill="FFFFFF"/>
            <w:vAlign w:val="center"/>
          </w:tcPr>
          <w:p w14:paraId="25A614D5"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rPr>
              <w:t>Estrato I</w:t>
            </w:r>
          </w:p>
        </w:tc>
        <w:tc>
          <w:tcPr>
            <w:tcW w:w="2976" w:type="dxa"/>
            <w:shd w:val="clear" w:color="000000" w:fill="FFFFFF"/>
            <w:vAlign w:val="center"/>
          </w:tcPr>
          <w:p w14:paraId="6F79F85B" w14:textId="77777777" w:rsidR="00492810" w:rsidRPr="00443329" w:rsidRDefault="00492810" w:rsidP="00492810">
            <w:pPr>
              <w:jc w:val="center"/>
              <w:rPr>
                <w:rFonts w:ascii="Century Gothic" w:hAnsi="Century Gothic"/>
                <w:color w:val="595959" w:themeColor="text1" w:themeTint="A6"/>
                <w:szCs w:val="22"/>
              </w:rPr>
            </w:pPr>
            <w:r w:rsidRPr="00443329">
              <w:rPr>
                <w:rFonts w:ascii="Century Gothic" w:hAnsi="Century Gothic"/>
                <w:color w:val="595959" w:themeColor="text1" w:themeTint="A6"/>
              </w:rPr>
              <w:t>1 - 9</w:t>
            </w:r>
          </w:p>
        </w:tc>
      </w:tr>
      <w:tr w:rsidR="00CF0C1E" w:rsidRPr="00B10D09" w14:paraId="5A947D49" w14:textId="77777777" w:rsidTr="00492810">
        <w:trPr>
          <w:trHeight w:val="605"/>
          <w:jc w:val="center"/>
        </w:trPr>
        <w:tc>
          <w:tcPr>
            <w:tcW w:w="3302" w:type="dxa"/>
            <w:shd w:val="clear" w:color="000000" w:fill="FFFFFF"/>
            <w:vAlign w:val="center"/>
          </w:tcPr>
          <w:p w14:paraId="02591086"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rPr>
              <w:t>Estrato II</w:t>
            </w:r>
          </w:p>
        </w:tc>
        <w:tc>
          <w:tcPr>
            <w:tcW w:w="2976" w:type="dxa"/>
            <w:shd w:val="clear" w:color="000000" w:fill="FFFFFF"/>
            <w:vAlign w:val="center"/>
          </w:tcPr>
          <w:p w14:paraId="2DDB8BF2" w14:textId="77777777" w:rsidR="00492810" w:rsidRPr="00443329" w:rsidRDefault="00492810" w:rsidP="00492810">
            <w:pPr>
              <w:jc w:val="center"/>
              <w:rPr>
                <w:rFonts w:ascii="Century Gothic" w:hAnsi="Century Gothic"/>
                <w:color w:val="595959" w:themeColor="text1" w:themeTint="A6"/>
                <w:szCs w:val="22"/>
              </w:rPr>
            </w:pPr>
            <w:r w:rsidRPr="00443329">
              <w:rPr>
                <w:rFonts w:ascii="Century Gothic" w:hAnsi="Century Gothic"/>
                <w:color w:val="595959" w:themeColor="text1" w:themeTint="A6"/>
              </w:rPr>
              <w:t>10 - 49</w:t>
            </w:r>
          </w:p>
        </w:tc>
      </w:tr>
      <w:tr w:rsidR="00CF0C1E" w:rsidRPr="00B10D09" w14:paraId="49DB7AA4" w14:textId="77777777" w:rsidTr="00492810">
        <w:trPr>
          <w:trHeight w:val="605"/>
          <w:jc w:val="center"/>
        </w:trPr>
        <w:tc>
          <w:tcPr>
            <w:tcW w:w="3302" w:type="dxa"/>
            <w:shd w:val="clear" w:color="000000" w:fill="FFFFFF"/>
            <w:vAlign w:val="center"/>
          </w:tcPr>
          <w:p w14:paraId="0D97371C"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rPr>
              <w:t>Estrato III</w:t>
            </w:r>
          </w:p>
        </w:tc>
        <w:tc>
          <w:tcPr>
            <w:tcW w:w="2976" w:type="dxa"/>
            <w:shd w:val="clear" w:color="000000" w:fill="FFFFFF"/>
            <w:vAlign w:val="center"/>
          </w:tcPr>
          <w:p w14:paraId="7D29DBA0" w14:textId="77777777" w:rsidR="00492810" w:rsidRPr="00443329" w:rsidRDefault="00492810" w:rsidP="00492810">
            <w:pPr>
              <w:jc w:val="center"/>
              <w:rPr>
                <w:rFonts w:ascii="Century Gothic" w:hAnsi="Century Gothic"/>
                <w:color w:val="595959" w:themeColor="text1" w:themeTint="A6"/>
                <w:szCs w:val="22"/>
              </w:rPr>
            </w:pPr>
            <w:r w:rsidRPr="00443329">
              <w:rPr>
                <w:rFonts w:ascii="Century Gothic" w:hAnsi="Century Gothic"/>
                <w:color w:val="595959" w:themeColor="text1" w:themeTint="A6"/>
              </w:rPr>
              <w:t>50 - 99</w:t>
            </w:r>
          </w:p>
        </w:tc>
      </w:tr>
      <w:tr w:rsidR="00CF0C1E" w:rsidRPr="00B10D09" w14:paraId="52D58C63" w14:textId="77777777" w:rsidTr="00492810">
        <w:trPr>
          <w:trHeight w:val="605"/>
          <w:jc w:val="center"/>
        </w:trPr>
        <w:tc>
          <w:tcPr>
            <w:tcW w:w="3302" w:type="dxa"/>
            <w:shd w:val="clear" w:color="000000" w:fill="FFFFFF"/>
            <w:vAlign w:val="center"/>
          </w:tcPr>
          <w:p w14:paraId="03FCC69D"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rPr>
              <w:t>Estrato IV</w:t>
            </w:r>
          </w:p>
        </w:tc>
        <w:tc>
          <w:tcPr>
            <w:tcW w:w="2976" w:type="dxa"/>
            <w:shd w:val="clear" w:color="000000" w:fill="FFFFFF"/>
            <w:vAlign w:val="center"/>
          </w:tcPr>
          <w:p w14:paraId="135C3121" w14:textId="77777777" w:rsidR="00492810" w:rsidRPr="00443329" w:rsidRDefault="00492810" w:rsidP="00492810">
            <w:pPr>
              <w:jc w:val="center"/>
              <w:rPr>
                <w:rFonts w:ascii="Century Gothic" w:hAnsi="Century Gothic"/>
                <w:color w:val="595959" w:themeColor="text1" w:themeTint="A6"/>
                <w:szCs w:val="22"/>
              </w:rPr>
            </w:pPr>
            <w:r w:rsidRPr="00443329">
              <w:rPr>
                <w:rFonts w:ascii="Century Gothic" w:hAnsi="Century Gothic"/>
                <w:color w:val="595959" w:themeColor="text1" w:themeTint="A6"/>
              </w:rPr>
              <w:t>100 - 199</w:t>
            </w:r>
          </w:p>
        </w:tc>
      </w:tr>
      <w:tr w:rsidR="00CF0C1E" w:rsidRPr="00B10D09" w14:paraId="16FED616" w14:textId="77777777" w:rsidTr="00492810">
        <w:trPr>
          <w:trHeight w:val="605"/>
          <w:jc w:val="center"/>
        </w:trPr>
        <w:tc>
          <w:tcPr>
            <w:tcW w:w="3302" w:type="dxa"/>
            <w:shd w:val="clear" w:color="000000" w:fill="FFFFFF"/>
            <w:vAlign w:val="center"/>
          </w:tcPr>
          <w:p w14:paraId="6577A427" w14:textId="77777777" w:rsidR="00492810" w:rsidRPr="00443329" w:rsidRDefault="00492810" w:rsidP="00492810">
            <w:pPr>
              <w:jc w:val="center"/>
              <w:rPr>
                <w:rFonts w:ascii="Century Gothic" w:hAnsi="Century Gothic"/>
                <w:color w:val="595959" w:themeColor="text1" w:themeTint="A6"/>
              </w:rPr>
            </w:pPr>
            <w:r w:rsidRPr="00443329">
              <w:rPr>
                <w:rFonts w:ascii="Century Gothic" w:hAnsi="Century Gothic"/>
                <w:color w:val="595959" w:themeColor="text1" w:themeTint="A6"/>
              </w:rPr>
              <w:t>Estrato V</w:t>
            </w:r>
          </w:p>
        </w:tc>
        <w:tc>
          <w:tcPr>
            <w:tcW w:w="2976" w:type="dxa"/>
            <w:shd w:val="clear" w:color="000000" w:fill="FFFFFF"/>
            <w:vAlign w:val="center"/>
          </w:tcPr>
          <w:p w14:paraId="39E1657A" w14:textId="77777777" w:rsidR="00492810" w:rsidRPr="00443329" w:rsidRDefault="00492810" w:rsidP="00492810">
            <w:pPr>
              <w:jc w:val="center"/>
              <w:rPr>
                <w:rFonts w:ascii="Century Gothic" w:hAnsi="Century Gothic"/>
                <w:color w:val="595959" w:themeColor="text1" w:themeTint="A6"/>
                <w:szCs w:val="22"/>
              </w:rPr>
            </w:pPr>
            <w:r w:rsidRPr="00443329">
              <w:rPr>
                <w:rFonts w:ascii="Century Gothic" w:hAnsi="Century Gothic"/>
                <w:color w:val="595959" w:themeColor="text1" w:themeTint="A6"/>
              </w:rPr>
              <w:t>&gt;= 200</w:t>
            </w:r>
          </w:p>
        </w:tc>
      </w:tr>
    </w:tbl>
    <w:p w14:paraId="4967B886" w14:textId="5BFB9747" w:rsidR="00492810" w:rsidRDefault="00492810" w:rsidP="001056B6">
      <w:pPr>
        <w:jc w:val="both"/>
        <w:rPr>
          <w:rFonts w:ascii="Century Gothic" w:hAnsi="Century Gothic"/>
          <w:color w:val="595959" w:themeColor="text1" w:themeTint="A6"/>
          <w:sz w:val="16"/>
          <w:szCs w:val="16"/>
        </w:rPr>
      </w:pPr>
      <w:r w:rsidRPr="00443329">
        <w:rPr>
          <w:rFonts w:ascii="Century Gothic" w:hAnsi="Century Gothic"/>
          <w:color w:val="595959" w:themeColor="text1" w:themeTint="A6"/>
          <w:sz w:val="16"/>
          <w:szCs w:val="16"/>
        </w:rPr>
        <w:t>Nota: La Comunidad Andina de Naciones define los estratos del I al IV, el INEC incorpora el estrato V.</w:t>
      </w:r>
    </w:p>
    <w:p w14:paraId="5DE76B36" w14:textId="1208F074" w:rsidR="009517AD" w:rsidRDefault="009517AD" w:rsidP="001056B6">
      <w:pPr>
        <w:jc w:val="both"/>
        <w:rPr>
          <w:rFonts w:ascii="Century Gothic" w:hAnsi="Century Gothic"/>
          <w:color w:val="595959" w:themeColor="text1" w:themeTint="A6"/>
          <w:sz w:val="16"/>
          <w:szCs w:val="16"/>
        </w:rPr>
      </w:pPr>
    </w:p>
    <w:p w14:paraId="4623131F" w14:textId="0A42B1F5" w:rsidR="009517AD" w:rsidRDefault="009517AD" w:rsidP="009517AD">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 xml:space="preserve">Estratos de personal ocupado </w:t>
      </w:r>
      <w:r>
        <w:rPr>
          <w:rFonts w:ascii="Century Gothic" w:hAnsi="Century Gothic"/>
          <w:b/>
          <w:color w:val="595959" w:themeColor="text1" w:themeTint="A6"/>
          <w:lang w:eastAsia="es-EC"/>
        </w:rPr>
        <w:t>–</w:t>
      </w:r>
      <w:r w:rsidRPr="00B10D09">
        <w:rPr>
          <w:rFonts w:ascii="Century Gothic" w:hAnsi="Century Gothic"/>
          <w:b/>
          <w:color w:val="595959" w:themeColor="text1" w:themeTint="A6"/>
          <w:lang w:eastAsia="es-EC"/>
        </w:rPr>
        <w:t xml:space="preserve"> afiliado</w:t>
      </w:r>
      <w:r>
        <w:rPr>
          <w:rFonts w:ascii="Century Gothic" w:hAnsi="Century Gothic"/>
          <w:b/>
          <w:color w:val="595959" w:themeColor="text1" w:themeTint="A6"/>
          <w:lang w:eastAsia="es-EC"/>
        </w:rPr>
        <w:t xml:space="preserve"> COP</w:t>
      </w:r>
      <w:r w:rsidRPr="00B10D09">
        <w:rPr>
          <w:rFonts w:ascii="Century Gothic" w:hAnsi="Century Gothic"/>
          <w:b/>
          <w:color w:val="595959" w:themeColor="text1" w:themeTint="A6"/>
          <w:lang w:eastAsia="es-EC"/>
        </w:rPr>
        <w:t>:</w:t>
      </w:r>
      <w:r w:rsidRPr="00B10D09">
        <w:rPr>
          <w:rFonts w:ascii="Century Gothic" w:hAnsi="Century Gothic"/>
          <w:color w:val="595959" w:themeColor="text1" w:themeTint="A6"/>
          <w:lang w:eastAsia="es-EC"/>
        </w:rPr>
        <w:t xml:space="preserve"> Corresponde a</w:t>
      </w:r>
      <w:r>
        <w:rPr>
          <w:rFonts w:ascii="Century Gothic" w:hAnsi="Century Gothic"/>
          <w:color w:val="595959" w:themeColor="text1" w:themeTint="A6"/>
          <w:lang w:eastAsia="es-EC"/>
        </w:rPr>
        <w:t xml:space="preserve"> la división en rangos de personal afiliado</w:t>
      </w:r>
      <w:r w:rsidRPr="00B10D09">
        <w:rPr>
          <w:rFonts w:ascii="Century Gothic" w:hAnsi="Century Gothic"/>
          <w:color w:val="595959" w:themeColor="text1" w:themeTint="A6"/>
          <w:lang w:eastAsia="es-EC"/>
        </w:rPr>
        <w:t xml:space="preserve"> </w:t>
      </w:r>
      <w:r>
        <w:rPr>
          <w:rFonts w:ascii="Century Gothic" w:hAnsi="Century Gothic"/>
          <w:color w:val="595959" w:themeColor="text1" w:themeTint="A6"/>
          <w:lang w:eastAsia="es-EC"/>
        </w:rPr>
        <w:t xml:space="preserve">definidos en el artículo 106 del Reglamento de Inversiones del Código Orgánico de la Producción, Comercio e Inversiones. </w:t>
      </w:r>
      <w:r w:rsidRPr="00B10D09">
        <w:rPr>
          <w:rFonts w:ascii="Century Gothic" w:hAnsi="Century Gothic"/>
          <w:color w:val="595959" w:themeColor="text1" w:themeTint="A6"/>
          <w:lang w:eastAsia="es-EC"/>
        </w:rPr>
        <w:t>Los estratos son los siguientes:</w:t>
      </w:r>
    </w:p>
    <w:p w14:paraId="4064390D" w14:textId="106D24A2" w:rsidR="009517AD" w:rsidRDefault="009517AD" w:rsidP="009517AD">
      <w:pPr>
        <w:jc w:val="both"/>
        <w:rPr>
          <w:rFonts w:ascii="Century Gothic" w:hAnsi="Century Gothic"/>
          <w:color w:val="595959" w:themeColor="text1" w:themeTint="A6"/>
          <w:lang w:eastAsia="es-EC"/>
        </w:rPr>
      </w:pPr>
    </w:p>
    <w:p w14:paraId="5FED7C77" w14:textId="77777777" w:rsidR="009517AD" w:rsidRPr="00B10D09" w:rsidRDefault="009517AD" w:rsidP="009517AD">
      <w:pPr>
        <w:jc w:val="both"/>
        <w:rPr>
          <w:rFonts w:ascii="Century Gothic" w:hAnsi="Century Gothic"/>
          <w:color w:val="595959" w:themeColor="text1" w:themeTint="A6"/>
          <w:lang w:eastAsia="es-EC"/>
        </w:rPr>
      </w:pP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2"/>
        <w:gridCol w:w="2976"/>
      </w:tblGrid>
      <w:tr w:rsidR="009517AD" w:rsidRPr="00B10D09" w14:paraId="6C73F59F" w14:textId="77777777" w:rsidTr="00932569">
        <w:trPr>
          <w:trHeight w:val="510"/>
          <w:jc w:val="center"/>
        </w:trPr>
        <w:tc>
          <w:tcPr>
            <w:tcW w:w="3302" w:type="dxa"/>
            <w:shd w:val="clear" w:color="auto" w:fill="1F3864" w:themeFill="accent1" w:themeFillShade="80"/>
            <w:vAlign w:val="center"/>
            <w:hideMark/>
          </w:tcPr>
          <w:p w14:paraId="34CCCBC8" w14:textId="77777777" w:rsidR="009517AD" w:rsidRPr="00443329" w:rsidRDefault="009517AD" w:rsidP="00932569">
            <w:pPr>
              <w:jc w:val="center"/>
              <w:rPr>
                <w:rFonts w:ascii="Century Gothic" w:hAnsi="Century Gothic"/>
                <w:b/>
                <w:color w:val="FFFFFF" w:themeColor="background1"/>
              </w:rPr>
            </w:pPr>
            <w:r w:rsidRPr="00443329">
              <w:rPr>
                <w:rFonts w:ascii="Century Gothic" w:hAnsi="Century Gothic"/>
                <w:b/>
                <w:color w:val="FFFFFF" w:themeColor="background1"/>
              </w:rPr>
              <w:t>Estratos</w:t>
            </w:r>
          </w:p>
        </w:tc>
        <w:tc>
          <w:tcPr>
            <w:tcW w:w="2976" w:type="dxa"/>
            <w:shd w:val="clear" w:color="auto" w:fill="1F3864" w:themeFill="accent1" w:themeFillShade="80"/>
            <w:vAlign w:val="center"/>
            <w:hideMark/>
          </w:tcPr>
          <w:p w14:paraId="2FB2765F" w14:textId="77777777" w:rsidR="009517AD" w:rsidRPr="00443329" w:rsidRDefault="009517AD" w:rsidP="00932569">
            <w:pPr>
              <w:jc w:val="center"/>
              <w:rPr>
                <w:rFonts w:ascii="Century Gothic" w:hAnsi="Century Gothic"/>
                <w:b/>
                <w:color w:val="FFFFFF" w:themeColor="background1"/>
                <w:szCs w:val="22"/>
              </w:rPr>
            </w:pPr>
            <w:r w:rsidRPr="00443329">
              <w:rPr>
                <w:rFonts w:ascii="Century Gothic" w:hAnsi="Century Gothic"/>
                <w:b/>
                <w:color w:val="FFFFFF" w:themeColor="background1"/>
              </w:rPr>
              <w:t>Número de personas ocupadas</w:t>
            </w:r>
          </w:p>
        </w:tc>
      </w:tr>
      <w:tr w:rsidR="009517AD" w:rsidRPr="00B10D09" w14:paraId="619984AD" w14:textId="77777777" w:rsidTr="00932569">
        <w:trPr>
          <w:trHeight w:val="605"/>
          <w:jc w:val="center"/>
        </w:trPr>
        <w:tc>
          <w:tcPr>
            <w:tcW w:w="3302" w:type="dxa"/>
            <w:shd w:val="clear" w:color="000000" w:fill="FFFFFF"/>
            <w:vAlign w:val="center"/>
          </w:tcPr>
          <w:p w14:paraId="37A2D02B" w14:textId="77777777" w:rsidR="009517AD" w:rsidRPr="00443329" w:rsidRDefault="009517AD"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w:t>
            </w:r>
          </w:p>
        </w:tc>
        <w:tc>
          <w:tcPr>
            <w:tcW w:w="2976" w:type="dxa"/>
            <w:shd w:val="clear" w:color="000000" w:fill="FFFFFF"/>
            <w:vAlign w:val="center"/>
          </w:tcPr>
          <w:p w14:paraId="7C18E1C0" w14:textId="77777777" w:rsidR="009517AD" w:rsidRPr="00443329" w:rsidRDefault="009517AD"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1 - 9</w:t>
            </w:r>
          </w:p>
        </w:tc>
      </w:tr>
      <w:tr w:rsidR="009517AD" w:rsidRPr="00B10D09" w14:paraId="33FF72D0" w14:textId="77777777" w:rsidTr="00932569">
        <w:trPr>
          <w:trHeight w:val="605"/>
          <w:jc w:val="center"/>
        </w:trPr>
        <w:tc>
          <w:tcPr>
            <w:tcW w:w="3302" w:type="dxa"/>
            <w:shd w:val="clear" w:color="000000" w:fill="FFFFFF"/>
            <w:vAlign w:val="center"/>
          </w:tcPr>
          <w:p w14:paraId="5983B97D" w14:textId="77777777" w:rsidR="009517AD" w:rsidRPr="00443329" w:rsidRDefault="009517AD"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II</w:t>
            </w:r>
          </w:p>
        </w:tc>
        <w:tc>
          <w:tcPr>
            <w:tcW w:w="2976" w:type="dxa"/>
            <w:shd w:val="clear" w:color="000000" w:fill="FFFFFF"/>
            <w:vAlign w:val="center"/>
          </w:tcPr>
          <w:p w14:paraId="2D6FC5AE" w14:textId="77777777" w:rsidR="009517AD" w:rsidRPr="00443329" w:rsidRDefault="009517AD"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10 - 49</w:t>
            </w:r>
          </w:p>
        </w:tc>
      </w:tr>
      <w:tr w:rsidR="009517AD" w:rsidRPr="00B10D09" w14:paraId="06A4DB71" w14:textId="77777777" w:rsidTr="00932569">
        <w:trPr>
          <w:trHeight w:val="605"/>
          <w:jc w:val="center"/>
        </w:trPr>
        <w:tc>
          <w:tcPr>
            <w:tcW w:w="3302" w:type="dxa"/>
            <w:shd w:val="clear" w:color="000000" w:fill="FFFFFF"/>
            <w:vAlign w:val="center"/>
          </w:tcPr>
          <w:p w14:paraId="69E45DCB" w14:textId="77777777" w:rsidR="009517AD" w:rsidRPr="00443329" w:rsidRDefault="009517AD"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III</w:t>
            </w:r>
          </w:p>
        </w:tc>
        <w:tc>
          <w:tcPr>
            <w:tcW w:w="2976" w:type="dxa"/>
            <w:shd w:val="clear" w:color="000000" w:fill="FFFFFF"/>
            <w:vAlign w:val="center"/>
          </w:tcPr>
          <w:p w14:paraId="78EF127A" w14:textId="3BB1CD82" w:rsidR="009517AD" w:rsidRPr="00443329" w:rsidRDefault="009517AD"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50 - </w:t>
            </w:r>
            <w:r>
              <w:rPr>
                <w:rFonts w:ascii="Century Gothic" w:hAnsi="Century Gothic"/>
                <w:color w:val="595959" w:themeColor="text1" w:themeTint="A6"/>
              </w:rPr>
              <w:t>1</w:t>
            </w:r>
            <w:r w:rsidRPr="00443329">
              <w:rPr>
                <w:rFonts w:ascii="Century Gothic" w:hAnsi="Century Gothic"/>
                <w:color w:val="595959" w:themeColor="text1" w:themeTint="A6"/>
              </w:rPr>
              <w:t>99</w:t>
            </w:r>
          </w:p>
        </w:tc>
      </w:tr>
      <w:tr w:rsidR="009517AD" w:rsidRPr="00B10D09" w14:paraId="32A6AFAC" w14:textId="77777777" w:rsidTr="00932569">
        <w:trPr>
          <w:trHeight w:val="605"/>
          <w:jc w:val="center"/>
        </w:trPr>
        <w:tc>
          <w:tcPr>
            <w:tcW w:w="3302" w:type="dxa"/>
            <w:shd w:val="clear" w:color="000000" w:fill="FFFFFF"/>
            <w:vAlign w:val="center"/>
          </w:tcPr>
          <w:p w14:paraId="1CBA9528" w14:textId="77777777" w:rsidR="009517AD" w:rsidRPr="00443329" w:rsidRDefault="009517AD" w:rsidP="00932569">
            <w:pPr>
              <w:jc w:val="center"/>
              <w:rPr>
                <w:rFonts w:ascii="Century Gothic" w:hAnsi="Century Gothic"/>
                <w:color w:val="595959" w:themeColor="text1" w:themeTint="A6"/>
              </w:rPr>
            </w:pPr>
            <w:r w:rsidRPr="00443329">
              <w:rPr>
                <w:rFonts w:ascii="Century Gothic" w:hAnsi="Century Gothic"/>
                <w:color w:val="595959" w:themeColor="text1" w:themeTint="A6"/>
              </w:rPr>
              <w:t>Estrato V</w:t>
            </w:r>
          </w:p>
        </w:tc>
        <w:tc>
          <w:tcPr>
            <w:tcW w:w="2976" w:type="dxa"/>
            <w:shd w:val="clear" w:color="000000" w:fill="FFFFFF"/>
            <w:vAlign w:val="center"/>
          </w:tcPr>
          <w:p w14:paraId="3CF8DF98" w14:textId="77777777" w:rsidR="009517AD" w:rsidRPr="00443329" w:rsidRDefault="009517AD"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&gt;= 200</w:t>
            </w:r>
          </w:p>
        </w:tc>
      </w:tr>
    </w:tbl>
    <w:p w14:paraId="7BFD52F3" w14:textId="77777777" w:rsidR="009517AD" w:rsidRPr="00443329" w:rsidRDefault="009517AD" w:rsidP="001056B6">
      <w:pPr>
        <w:jc w:val="both"/>
        <w:rPr>
          <w:rFonts w:ascii="Century Gothic" w:hAnsi="Century Gothic"/>
          <w:color w:val="595959" w:themeColor="text1" w:themeTint="A6"/>
          <w:sz w:val="16"/>
          <w:szCs w:val="16"/>
        </w:rPr>
      </w:pPr>
    </w:p>
    <w:p w14:paraId="3338143B" w14:textId="77777777" w:rsidR="00301860" w:rsidRDefault="00301860" w:rsidP="00301860">
      <w:pPr>
        <w:jc w:val="both"/>
        <w:rPr>
          <w:rFonts w:ascii="Century Gothic" w:hAnsi="Century Gothic"/>
          <w:b/>
          <w:color w:val="595959" w:themeColor="text1" w:themeTint="A6"/>
          <w:lang w:eastAsia="es-EC"/>
        </w:rPr>
      </w:pPr>
    </w:p>
    <w:p w14:paraId="2B1EBECD" w14:textId="568B25DB"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Estructura para estratificación:</w:t>
      </w:r>
      <w:r w:rsidRPr="00B10D09">
        <w:rPr>
          <w:rFonts w:ascii="Century Gothic" w:hAnsi="Century Gothic"/>
          <w:color w:val="595959" w:themeColor="text1" w:themeTint="A6"/>
          <w:lang w:eastAsia="es-EC"/>
        </w:rPr>
        <w:t xml:space="preserve"> Corresponde a la estratificación de las empresas según el origen que tengan estas. Existen cinco categorías, en las cuales las empresas se clasifican de acuerdo al origen de la información, estos son:</w:t>
      </w:r>
    </w:p>
    <w:p w14:paraId="558A9B4F"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Ventas y empleo con actividades productivas:</w:t>
      </w:r>
      <w:r w:rsidRPr="00443329">
        <w:rPr>
          <w:rFonts w:ascii="Century Gothic" w:hAnsi="Century Gothic"/>
          <w:color w:val="595959" w:themeColor="text1" w:themeTint="A6"/>
          <w:sz w:val="24"/>
        </w:rPr>
        <w:t xml:space="preserve"> Este grupo corresponde a aquellas empresas que tienen ventas y empleo y la actividad económica a la que se dedican está entre A, B, C, D, E, F, G, H, I, J, K, L, M, N, R, o S.</w:t>
      </w:r>
    </w:p>
    <w:p w14:paraId="41750190" w14:textId="13E93DD2"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Ventas y empleo de las actividades O, P y Q:</w:t>
      </w:r>
      <w:r w:rsidRPr="00443329">
        <w:rPr>
          <w:rFonts w:ascii="Century Gothic" w:hAnsi="Century Gothic"/>
          <w:color w:val="595959" w:themeColor="text1" w:themeTint="A6"/>
          <w:sz w:val="24"/>
        </w:rPr>
        <w:t xml:space="preserve"> Este grupo corresponde a aquellas empresas que tienen ventas y empleo y la actividad económica a la que se dedican está entre O, P o Q. </w:t>
      </w:r>
      <w:r w:rsidR="001056B6" w:rsidRPr="00443329">
        <w:rPr>
          <w:rFonts w:ascii="Century Gothic" w:hAnsi="Century Gothic"/>
          <w:color w:val="595959" w:themeColor="text1" w:themeTint="A6"/>
          <w:sz w:val="24"/>
        </w:rPr>
        <w:t>Además,</w:t>
      </w:r>
      <w:r w:rsidRPr="00443329">
        <w:rPr>
          <w:rFonts w:ascii="Century Gothic" w:hAnsi="Century Gothic"/>
          <w:color w:val="595959" w:themeColor="text1" w:themeTint="A6"/>
          <w:sz w:val="24"/>
        </w:rPr>
        <w:t xml:space="preserve"> se incluyen aquellas empresas de otras actividades que no estuvieron codificadas a 4 dígitos.</w:t>
      </w:r>
    </w:p>
    <w:p w14:paraId="40C9BF50"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Ventas:</w:t>
      </w:r>
      <w:r w:rsidRPr="00443329">
        <w:rPr>
          <w:rFonts w:ascii="Century Gothic" w:hAnsi="Century Gothic"/>
          <w:color w:val="595959" w:themeColor="text1" w:themeTint="A6"/>
          <w:sz w:val="24"/>
        </w:rPr>
        <w:t xml:space="preserve"> En este grupo se encuentran las empresas que registran solamente ventas.</w:t>
      </w:r>
    </w:p>
    <w:p w14:paraId="16BD3D47"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Afiliados:</w:t>
      </w:r>
      <w:r w:rsidRPr="00443329">
        <w:rPr>
          <w:rFonts w:ascii="Century Gothic" w:hAnsi="Century Gothic"/>
          <w:color w:val="595959" w:themeColor="text1" w:themeTint="A6"/>
          <w:sz w:val="24"/>
        </w:rPr>
        <w:t xml:space="preserve"> En esta categoría ingresan aquellas empresas que únicamente cuentan con personal ocupado afiliado. </w:t>
      </w:r>
    </w:p>
    <w:p w14:paraId="74E47EC4"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b/>
          <w:color w:val="595959" w:themeColor="text1" w:themeTint="A6"/>
          <w:sz w:val="24"/>
        </w:rPr>
        <w:t>RISE:</w:t>
      </w:r>
      <w:r w:rsidRPr="00443329">
        <w:rPr>
          <w:rFonts w:ascii="Century Gothic" w:hAnsi="Century Gothic"/>
          <w:color w:val="595959" w:themeColor="text1" w:themeTint="A6"/>
          <w:sz w:val="24"/>
        </w:rPr>
        <w:t xml:space="preserve"> En este grupo se encuentran las empresas que tienen RISE, es decir aquellas personas naturales cuyos ingresos no superen los USD 60.000 dentro de un periodo fiscal.</w:t>
      </w:r>
    </w:p>
    <w:p w14:paraId="7CE02B52" w14:textId="628D74AC"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Forma institucional:</w:t>
      </w:r>
      <w:r w:rsidRPr="00B10D09">
        <w:rPr>
          <w:rFonts w:ascii="Century Gothic" w:hAnsi="Century Gothic"/>
          <w:color w:val="595959" w:themeColor="text1" w:themeTint="A6"/>
          <w:lang w:eastAsia="es-EC"/>
        </w:rPr>
        <w:t xml:space="preserve"> es una </w:t>
      </w:r>
      <w:r w:rsidR="001056B6" w:rsidRPr="00B10D09">
        <w:rPr>
          <w:rFonts w:ascii="Century Gothic" w:hAnsi="Century Gothic"/>
          <w:color w:val="595959" w:themeColor="text1" w:themeTint="A6"/>
          <w:lang w:eastAsia="es-EC"/>
        </w:rPr>
        <w:t>subclasificación</w:t>
      </w:r>
      <w:r w:rsidRPr="00B10D09">
        <w:rPr>
          <w:rFonts w:ascii="Century Gothic" w:hAnsi="Century Gothic"/>
          <w:color w:val="595959" w:themeColor="text1" w:themeTint="A6"/>
          <w:lang w:eastAsia="es-EC"/>
        </w:rPr>
        <w:t xml:space="preserve"> de la unidad legal de las empresas e instituciones, que permite identificar a las empresas dentro de una tipología más cercana al tipo institucional del Sistema de Cuentas Nacionales, de acuerdo a sus características jurídicas. Las categorías institucionales son:</w:t>
      </w:r>
    </w:p>
    <w:p w14:paraId="549B4551" w14:textId="77777777" w:rsidR="00301860" w:rsidRPr="00B10D09" w:rsidRDefault="00301860" w:rsidP="00301860">
      <w:pPr>
        <w:jc w:val="both"/>
        <w:rPr>
          <w:rFonts w:ascii="Century Gothic" w:hAnsi="Century Gothic"/>
          <w:color w:val="595959" w:themeColor="text1" w:themeTint="A6"/>
          <w:lang w:eastAsia="es-EC"/>
        </w:rPr>
      </w:pPr>
    </w:p>
    <w:p w14:paraId="3EEAEE63"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 xml:space="preserve">Régimen simplificado RISE </w:t>
      </w:r>
    </w:p>
    <w:p w14:paraId="55C820B5"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Empresa de persona natural no obligada a llevar contabilidad (empresas de hogares).</w:t>
      </w:r>
    </w:p>
    <w:p w14:paraId="799BAA4C"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Empresa de persona natural obligada a llevar contabilidad (cuasi sociedades)</w:t>
      </w:r>
    </w:p>
    <w:p w14:paraId="63E1310D"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Empresa constituida en sociedad con fines de lucro (sociedades)</w:t>
      </w:r>
    </w:p>
    <w:p w14:paraId="51239AE9"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Organización constituida en sociedad sin fines de lucro (instituciones sin fines de lucro.</w:t>
      </w:r>
    </w:p>
    <w:p w14:paraId="5DFAB8A8"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Empresa Pública (sociedades)</w:t>
      </w:r>
    </w:p>
    <w:p w14:paraId="768AE0F7"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Institución Pública (administración pública)</w:t>
      </w:r>
    </w:p>
    <w:p w14:paraId="48E55F10" w14:textId="77777777" w:rsidR="00492810" w:rsidRPr="00443329" w:rsidRDefault="00492810" w:rsidP="003C20C6">
      <w:pPr>
        <w:pStyle w:val="Prrafodelista"/>
        <w:numPr>
          <w:ilvl w:val="0"/>
          <w:numId w:val="10"/>
        </w:numPr>
        <w:rPr>
          <w:rFonts w:ascii="Century Gothic" w:hAnsi="Century Gothic"/>
          <w:color w:val="595959" w:themeColor="text1" w:themeTint="A6"/>
          <w:sz w:val="24"/>
        </w:rPr>
      </w:pPr>
      <w:r w:rsidRPr="00443329">
        <w:rPr>
          <w:rFonts w:ascii="Century Gothic" w:hAnsi="Century Gothic"/>
          <w:color w:val="595959" w:themeColor="text1" w:themeTint="A6"/>
          <w:sz w:val="24"/>
        </w:rPr>
        <w:t>Organización de la economía popular y solidaria</w:t>
      </w:r>
    </w:p>
    <w:p w14:paraId="227CC20E" w14:textId="67C1CD9D"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Grande sector económico:</w:t>
      </w:r>
      <w:r w:rsidRPr="00B10D09">
        <w:rPr>
          <w:rFonts w:ascii="Century Gothic" w:hAnsi="Century Gothic"/>
          <w:color w:val="595959" w:themeColor="text1" w:themeTint="A6"/>
          <w:lang w:eastAsia="es-EC"/>
        </w:rPr>
        <w:t xml:space="preserve"> Corresponde a un nivel agrupado de las actividades económicas (sección). La agregación se realiza según la siguiente estructura que tiene como base la presentación de datos del Censo Nacional Económico, y se añade la construcción debido a la importancia del sector, lo que permite simplificar la estructura sectorial de una economía:</w:t>
      </w:r>
    </w:p>
    <w:p w14:paraId="10F9E5CA" w14:textId="5DF1437C" w:rsidR="001056B6" w:rsidRDefault="001056B6" w:rsidP="00443329">
      <w:pPr>
        <w:jc w:val="both"/>
        <w:rPr>
          <w:rFonts w:ascii="Century Gothic" w:hAnsi="Century Gothic"/>
          <w:color w:val="595959" w:themeColor="text1" w:themeTint="A6"/>
          <w:lang w:eastAsia="es-EC"/>
        </w:rPr>
      </w:pPr>
    </w:p>
    <w:p w14:paraId="0BB6C25E" w14:textId="7D4B4D36" w:rsidR="001056B6" w:rsidRDefault="001056B6" w:rsidP="00443329">
      <w:pPr>
        <w:jc w:val="both"/>
        <w:rPr>
          <w:rFonts w:ascii="Century Gothic" w:hAnsi="Century Gothic"/>
          <w:color w:val="595959" w:themeColor="text1" w:themeTint="A6"/>
          <w:lang w:eastAsia="es-EC"/>
        </w:rPr>
      </w:pPr>
    </w:p>
    <w:tbl>
      <w:tblPr>
        <w:tblW w:w="9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44"/>
        <w:gridCol w:w="3969"/>
        <w:gridCol w:w="3399"/>
      </w:tblGrid>
      <w:tr w:rsidR="00CF0C1E" w:rsidRPr="00B10D09" w14:paraId="5B1EB65B" w14:textId="77777777" w:rsidTr="00251ECD">
        <w:trPr>
          <w:trHeight w:val="510"/>
          <w:tblHeader/>
          <w:jc w:val="center"/>
        </w:trPr>
        <w:tc>
          <w:tcPr>
            <w:tcW w:w="1744" w:type="dxa"/>
            <w:shd w:val="clear" w:color="auto" w:fill="1F3864" w:themeFill="accent1" w:themeFillShade="80"/>
            <w:vAlign w:val="center"/>
            <w:hideMark/>
          </w:tcPr>
          <w:p w14:paraId="10E45DDF" w14:textId="77777777" w:rsidR="00492810" w:rsidRPr="00443329" w:rsidRDefault="00492810" w:rsidP="00CF0C1E">
            <w:pPr>
              <w:jc w:val="center"/>
              <w:rPr>
                <w:rFonts w:ascii="Century Gothic" w:hAnsi="Century Gothic"/>
                <w:b/>
                <w:color w:val="FFFFFF" w:themeColor="background1"/>
              </w:rPr>
            </w:pPr>
            <w:r w:rsidRPr="00443329">
              <w:rPr>
                <w:rFonts w:ascii="Century Gothic" w:hAnsi="Century Gothic"/>
                <w:b/>
                <w:color w:val="FFFFFF" w:themeColor="background1"/>
              </w:rPr>
              <w:t>Sección</w:t>
            </w:r>
          </w:p>
        </w:tc>
        <w:tc>
          <w:tcPr>
            <w:tcW w:w="3969" w:type="dxa"/>
            <w:shd w:val="clear" w:color="auto" w:fill="1F3864" w:themeFill="accent1" w:themeFillShade="80"/>
            <w:vAlign w:val="center"/>
            <w:hideMark/>
          </w:tcPr>
          <w:p w14:paraId="23F1FF3E"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Descripción</w:t>
            </w:r>
          </w:p>
        </w:tc>
        <w:tc>
          <w:tcPr>
            <w:tcW w:w="3399" w:type="dxa"/>
            <w:shd w:val="clear" w:color="auto" w:fill="1F3864" w:themeFill="accent1" w:themeFillShade="80"/>
            <w:vAlign w:val="center"/>
          </w:tcPr>
          <w:p w14:paraId="15D9AF17" w14:textId="77777777" w:rsidR="00492810" w:rsidRPr="00443329" w:rsidRDefault="00492810" w:rsidP="00CF0C1E">
            <w:pPr>
              <w:jc w:val="center"/>
              <w:rPr>
                <w:rFonts w:ascii="Century Gothic" w:hAnsi="Century Gothic"/>
                <w:b/>
                <w:color w:val="FFFFFF" w:themeColor="background1"/>
                <w:szCs w:val="22"/>
              </w:rPr>
            </w:pPr>
            <w:r w:rsidRPr="00443329">
              <w:rPr>
                <w:rFonts w:ascii="Century Gothic" w:hAnsi="Century Gothic"/>
                <w:b/>
                <w:color w:val="FFFFFF" w:themeColor="background1"/>
              </w:rPr>
              <w:t>Grande Sector</w:t>
            </w:r>
          </w:p>
        </w:tc>
      </w:tr>
      <w:tr w:rsidR="00CF0C1E" w:rsidRPr="00B10D09" w14:paraId="032B246B" w14:textId="77777777" w:rsidTr="00492810">
        <w:trPr>
          <w:trHeight w:val="605"/>
          <w:jc w:val="center"/>
        </w:trPr>
        <w:tc>
          <w:tcPr>
            <w:tcW w:w="1744" w:type="dxa"/>
            <w:shd w:val="clear" w:color="000000" w:fill="FFFFFF"/>
            <w:vAlign w:val="center"/>
          </w:tcPr>
          <w:p w14:paraId="4446B952"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A</w:t>
            </w:r>
          </w:p>
        </w:tc>
        <w:tc>
          <w:tcPr>
            <w:tcW w:w="3969" w:type="dxa"/>
            <w:shd w:val="clear" w:color="000000" w:fill="FFFFFF"/>
            <w:vAlign w:val="center"/>
          </w:tcPr>
          <w:p w14:paraId="684046B8"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Agricultura, ganadería, silvicultura y pesca</w:t>
            </w:r>
          </w:p>
        </w:tc>
        <w:tc>
          <w:tcPr>
            <w:tcW w:w="3399" w:type="dxa"/>
            <w:shd w:val="clear" w:color="000000" w:fill="FFFFFF"/>
            <w:vAlign w:val="center"/>
          </w:tcPr>
          <w:p w14:paraId="04E5E913"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Agricultura, ganadería, silvicultura y pesca</w:t>
            </w:r>
          </w:p>
        </w:tc>
      </w:tr>
      <w:tr w:rsidR="00CF0C1E" w:rsidRPr="00B10D09" w14:paraId="14D69381" w14:textId="77777777" w:rsidTr="00492810">
        <w:trPr>
          <w:trHeight w:val="605"/>
          <w:jc w:val="center"/>
        </w:trPr>
        <w:tc>
          <w:tcPr>
            <w:tcW w:w="1744" w:type="dxa"/>
            <w:shd w:val="clear" w:color="000000" w:fill="FFFFFF"/>
            <w:vAlign w:val="center"/>
          </w:tcPr>
          <w:p w14:paraId="2920DE49"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B</w:t>
            </w:r>
          </w:p>
        </w:tc>
        <w:tc>
          <w:tcPr>
            <w:tcW w:w="3969" w:type="dxa"/>
            <w:shd w:val="clear" w:color="000000" w:fill="FFFFFF"/>
            <w:vAlign w:val="center"/>
          </w:tcPr>
          <w:p w14:paraId="6CFC5FF3"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Explotación de minas y canteras</w:t>
            </w:r>
          </w:p>
        </w:tc>
        <w:tc>
          <w:tcPr>
            <w:tcW w:w="3399" w:type="dxa"/>
            <w:shd w:val="clear" w:color="000000" w:fill="FFFFFF"/>
            <w:vAlign w:val="center"/>
          </w:tcPr>
          <w:p w14:paraId="28F9DE6C"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Explotación de minas y canteras</w:t>
            </w:r>
          </w:p>
        </w:tc>
      </w:tr>
      <w:tr w:rsidR="00CF0C1E" w:rsidRPr="00B10D09" w14:paraId="30B44A6C" w14:textId="77777777" w:rsidTr="00492810">
        <w:trPr>
          <w:trHeight w:val="605"/>
          <w:jc w:val="center"/>
        </w:trPr>
        <w:tc>
          <w:tcPr>
            <w:tcW w:w="1744" w:type="dxa"/>
            <w:shd w:val="clear" w:color="000000" w:fill="FFFFFF"/>
            <w:vAlign w:val="center"/>
          </w:tcPr>
          <w:p w14:paraId="06E56D2B"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C</w:t>
            </w:r>
          </w:p>
        </w:tc>
        <w:tc>
          <w:tcPr>
            <w:tcW w:w="3969" w:type="dxa"/>
            <w:shd w:val="clear" w:color="000000" w:fill="FFFFFF"/>
            <w:vAlign w:val="center"/>
          </w:tcPr>
          <w:p w14:paraId="2A99D208"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Industrias manufactureras</w:t>
            </w:r>
          </w:p>
        </w:tc>
        <w:tc>
          <w:tcPr>
            <w:tcW w:w="3399" w:type="dxa"/>
            <w:shd w:val="clear" w:color="000000" w:fill="FFFFFF"/>
            <w:vAlign w:val="center"/>
          </w:tcPr>
          <w:p w14:paraId="6A1B345A"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Industrias manufactureras</w:t>
            </w:r>
          </w:p>
        </w:tc>
      </w:tr>
      <w:tr w:rsidR="00CF0C1E" w:rsidRPr="00B10D09" w14:paraId="51D791C6" w14:textId="77777777" w:rsidTr="00492810">
        <w:trPr>
          <w:trHeight w:val="605"/>
          <w:jc w:val="center"/>
        </w:trPr>
        <w:tc>
          <w:tcPr>
            <w:tcW w:w="1744" w:type="dxa"/>
            <w:shd w:val="clear" w:color="000000" w:fill="FFFFFF"/>
            <w:vAlign w:val="center"/>
          </w:tcPr>
          <w:p w14:paraId="0F97D007"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G</w:t>
            </w:r>
          </w:p>
        </w:tc>
        <w:tc>
          <w:tcPr>
            <w:tcW w:w="3969" w:type="dxa"/>
            <w:shd w:val="clear" w:color="000000" w:fill="FFFFFF"/>
            <w:vAlign w:val="center"/>
          </w:tcPr>
          <w:p w14:paraId="4E145843"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Comercio al por mayor y al por menor</w:t>
            </w:r>
          </w:p>
        </w:tc>
        <w:tc>
          <w:tcPr>
            <w:tcW w:w="3399" w:type="dxa"/>
            <w:shd w:val="clear" w:color="000000" w:fill="FFFFFF"/>
            <w:vAlign w:val="center"/>
          </w:tcPr>
          <w:p w14:paraId="7D8AD342"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Comercio</w:t>
            </w:r>
          </w:p>
        </w:tc>
      </w:tr>
      <w:tr w:rsidR="00CF0C1E" w:rsidRPr="00B10D09" w14:paraId="41A2C9ED" w14:textId="77777777" w:rsidTr="00492810">
        <w:trPr>
          <w:trHeight w:val="605"/>
          <w:jc w:val="center"/>
        </w:trPr>
        <w:tc>
          <w:tcPr>
            <w:tcW w:w="1744" w:type="dxa"/>
            <w:shd w:val="clear" w:color="000000" w:fill="FFFFFF"/>
            <w:vAlign w:val="center"/>
          </w:tcPr>
          <w:p w14:paraId="56002A13"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F</w:t>
            </w:r>
          </w:p>
        </w:tc>
        <w:tc>
          <w:tcPr>
            <w:tcW w:w="3969" w:type="dxa"/>
            <w:shd w:val="clear" w:color="000000" w:fill="FFFFFF"/>
            <w:vAlign w:val="center"/>
          </w:tcPr>
          <w:p w14:paraId="5F5B103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Construcción</w:t>
            </w:r>
          </w:p>
        </w:tc>
        <w:tc>
          <w:tcPr>
            <w:tcW w:w="3399" w:type="dxa"/>
            <w:shd w:val="clear" w:color="000000" w:fill="FFFFFF"/>
            <w:vAlign w:val="center"/>
          </w:tcPr>
          <w:p w14:paraId="438ADF3C"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Construcción</w:t>
            </w:r>
          </w:p>
        </w:tc>
      </w:tr>
      <w:tr w:rsidR="00CF0C1E" w:rsidRPr="00B10D09" w14:paraId="6404C77C" w14:textId="77777777" w:rsidTr="00492810">
        <w:trPr>
          <w:trHeight w:val="605"/>
          <w:jc w:val="center"/>
        </w:trPr>
        <w:tc>
          <w:tcPr>
            <w:tcW w:w="1744" w:type="dxa"/>
            <w:shd w:val="clear" w:color="000000" w:fill="FFFFFF"/>
            <w:vAlign w:val="center"/>
          </w:tcPr>
          <w:p w14:paraId="1D296DBB"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D</w:t>
            </w:r>
          </w:p>
        </w:tc>
        <w:tc>
          <w:tcPr>
            <w:tcW w:w="3969" w:type="dxa"/>
            <w:shd w:val="clear" w:color="000000" w:fill="FFFFFF"/>
            <w:vAlign w:val="center"/>
          </w:tcPr>
          <w:p w14:paraId="5963503C"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Suministro de electricidad, gas, vapor</w:t>
            </w:r>
          </w:p>
        </w:tc>
        <w:tc>
          <w:tcPr>
            <w:tcW w:w="3399" w:type="dxa"/>
            <w:shd w:val="clear" w:color="000000" w:fill="FFFFFF"/>
            <w:vAlign w:val="center"/>
          </w:tcPr>
          <w:p w14:paraId="5209FB91"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24AEA006" w14:textId="77777777" w:rsidTr="00492810">
        <w:trPr>
          <w:trHeight w:val="605"/>
          <w:jc w:val="center"/>
        </w:trPr>
        <w:tc>
          <w:tcPr>
            <w:tcW w:w="1744" w:type="dxa"/>
            <w:shd w:val="clear" w:color="000000" w:fill="FFFFFF"/>
            <w:vAlign w:val="center"/>
          </w:tcPr>
          <w:p w14:paraId="2665C9C6"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E</w:t>
            </w:r>
          </w:p>
        </w:tc>
        <w:tc>
          <w:tcPr>
            <w:tcW w:w="3969" w:type="dxa"/>
            <w:shd w:val="clear" w:color="000000" w:fill="FFFFFF"/>
            <w:vAlign w:val="center"/>
          </w:tcPr>
          <w:p w14:paraId="29FA6FB9"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Agua, alcantarillado, desechos y saneamiento </w:t>
            </w:r>
          </w:p>
        </w:tc>
        <w:tc>
          <w:tcPr>
            <w:tcW w:w="3399" w:type="dxa"/>
            <w:shd w:val="clear" w:color="000000" w:fill="FFFFFF"/>
            <w:vAlign w:val="center"/>
          </w:tcPr>
          <w:p w14:paraId="079CC7EE"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5A20ADB9" w14:textId="77777777" w:rsidTr="00492810">
        <w:trPr>
          <w:trHeight w:val="605"/>
          <w:jc w:val="center"/>
        </w:trPr>
        <w:tc>
          <w:tcPr>
            <w:tcW w:w="1744" w:type="dxa"/>
            <w:shd w:val="clear" w:color="000000" w:fill="FFFFFF"/>
            <w:vAlign w:val="center"/>
          </w:tcPr>
          <w:p w14:paraId="5A3DC03F"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H</w:t>
            </w:r>
          </w:p>
        </w:tc>
        <w:tc>
          <w:tcPr>
            <w:tcW w:w="3969" w:type="dxa"/>
            <w:shd w:val="clear" w:color="000000" w:fill="FFFFFF"/>
            <w:vAlign w:val="center"/>
          </w:tcPr>
          <w:p w14:paraId="0E052853"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Transporte y almacenamiento</w:t>
            </w:r>
          </w:p>
        </w:tc>
        <w:tc>
          <w:tcPr>
            <w:tcW w:w="3399" w:type="dxa"/>
            <w:shd w:val="clear" w:color="000000" w:fill="FFFFFF"/>
            <w:vAlign w:val="center"/>
          </w:tcPr>
          <w:p w14:paraId="76E8C028"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56AEB17E" w14:textId="77777777" w:rsidTr="00492810">
        <w:trPr>
          <w:trHeight w:val="605"/>
          <w:jc w:val="center"/>
        </w:trPr>
        <w:tc>
          <w:tcPr>
            <w:tcW w:w="1744" w:type="dxa"/>
            <w:shd w:val="clear" w:color="000000" w:fill="FFFFFF"/>
            <w:vAlign w:val="center"/>
          </w:tcPr>
          <w:p w14:paraId="32B58154"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I</w:t>
            </w:r>
          </w:p>
        </w:tc>
        <w:tc>
          <w:tcPr>
            <w:tcW w:w="3969" w:type="dxa"/>
            <w:shd w:val="clear" w:color="000000" w:fill="FFFFFF"/>
            <w:vAlign w:val="center"/>
          </w:tcPr>
          <w:p w14:paraId="782F354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Alojamiento y de servicios de comidas</w:t>
            </w:r>
          </w:p>
        </w:tc>
        <w:tc>
          <w:tcPr>
            <w:tcW w:w="3399" w:type="dxa"/>
            <w:shd w:val="clear" w:color="000000" w:fill="FFFFFF"/>
            <w:vAlign w:val="center"/>
          </w:tcPr>
          <w:p w14:paraId="461CB73E"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3D2E6BEC" w14:textId="77777777" w:rsidTr="00492810">
        <w:trPr>
          <w:trHeight w:val="605"/>
          <w:jc w:val="center"/>
        </w:trPr>
        <w:tc>
          <w:tcPr>
            <w:tcW w:w="1744" w:type="dxa"/>
            <w:shd w:val="clear" w:color="000000" w:fill="FFFFFF"/>
            <w:vAlign w:val="center"/>
          </w:tcPr>
          <w:p w14:paraId="06DC252A"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J</w:t>
            </w:r>
          </w:p>
        </w:tc>
        <w:tc>
          <w:tcPr>
            <w:tcW w:w="3969" w:type="dxa"/>
            <w:shd w:val="clear" w:color="000000" w:fill="FFFFFF"/>
            <w:vAlign w:val="center"/>
          </w:tcPr>
          <w:p w14:paraId="468A6F6F"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Información y comunicación</w:t>
            </w:r>
          </w:p>
        </w:tc>
        <w:tc>
          <w:tcPr>
            <w:tcW w:w="3399" w:type="dxa"/>
            <w:shd w:val="clear" w:color="000000" w:fill="FFFFFF"/>
            <w:vAlign w:val="center"/>
          </w:tcPr>
          <w:p w14:paraId="47E1D17C"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7A79B0FC" w14:textId="77777777" w:rsidTr="00492810">
        <w:trPr>
          <w:trHeight w:val="605"/>
          <w:jc w:val="center"/>
        </w:trPr>
        <w:tc>
          <w:tcPr>
            <w:tcW w:w="1744" w:type="dxa"/>
            <w:shd w:val="clear" w:color="000000" w:fill="FFFFFF"/>
            <w:vAlign w:val="center"/>
          </w:tcPr>
          <w:p w14:paraId="38EF0976"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K</w:t>
            </w:r>
          </w:p>
        </w:tc>
        <w:tc>
          <w:tcPr>
            <w:tcW w:w="3969" w:type="dxa"/>
            <w:shd w:val="clear" w:color="000000" w:fill="FFFFFF"/>
            <w:vAlign w:val="center"/>
          </w:tcPr>
          <w:p w14:paraId="454ACDB5"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Actividades financieras y de seguros</w:t>
            </w:r>
          </w:p>
        </w:tc>
        <w:tc>
          <w:tcPr>
            <w:tcW w:w="3399" w:type="dxa"/>
            <w:shd w:val="clear" w:color="000000" w:fill="FFFFFF"/>
            <w:vAlign w:val="center"/>
          </w:tcPr>
          <w:p w14:paraId="61C26A6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524D2EEC" w14:textId="77777777" w:rsidTr="00492810">
        <w:trPr>
          <w:trHeight w:val="605"/>
          <w:jc w:val="center"/>
        </w:trPr>
        <w:tc>
          <w:tcPr>
            <w:tcW w:w="1744" w:type="dxa"/>
            <w:shd w:val="clear" w:color="000000" w:fill="FFFFFF"/>
            <w:vAlign w:val="center"/>
          </w:tcPr>
          <w:p w14:paraId="2987A823"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L</w:t>
            </w:r>
          </w:p>
        </w:tc>
        <w:tc>
          <w:tcPr>
            <w:tcW w:w="3969" w:type="dxa"/>
            <w:shd w:val="clear" w:color="000000" w:fill="FFFFFF"/>
            <w:vAlign w:val="center"/>
          </w:tcPr>
          <w:p w14:paraId="544A1277"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Actividades inmobiliarias</w:t>
            </w:r>
          </w:p>
        </w:tc>
        <w:tc>
          <w:tcPr>
            <w:tcW w:w="3399" w:type="dxa"/>
            <w:shd w:val="clear" w:color="000000" w:fill="FFFFFF"/>
            <w:vAlign w:val="center"/>
          </w:tcPr>
          <w:p w14:paraId="38B35192"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500F58F2" w14:textId="77777777" w:rsidTr="00492810">
        <w:trPr>
          <w:trHeight w:val="605"/>
          <w:jc w:val="center"/>
        </w:trPr>
        <w:tc>
          <w:tcPr>
            <w:tcW w:w="1744" w:type="dxa"/>
            <w:shd w:val="clear" w:color="000000" w:fill="FFFFFF"/>
            <w:vAlign w:val="center"/>
          </w:tcPr>
          <w:p w14:paraId="760DE840"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M</w:t>
            </w:r>
          </w:p>
        </w:tc>
        <w:tc>
          <w:tcPr>
            <w:tcW w:w="3969" w:type="dxa"/>
            <w:shd w:val="clear" w:color="000000" w:fill="FFFFFF"/>
            <w:vAlign w:val="center"/>
          </w:tcPr>
          <w:p w14:paraId="0E93DB42"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Actividades profesionales, científicas y técnicas </w:t>
            </w:r>
          </w:p>
        </w:tc>
        <w:tc>
          <w:tcPr>
            <w:tcW w:w="3399" w:type="dxa"/>
            <w:shd w:val="clear" w:color="000000" w:fill="FFFFFF"/>
            <w:vAlign w:val="center"/>
          </w:tcPr>
          <w:p w14:paraId="594F3E21"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20F254D5" w14:textId="77777777" w:rsidTr="00492810">
        <w:trPr>
          <w:trHeight w:val="605"/>
          <w:jc w:val="center"/>
        </w:trPr>
        <w:tc>
          <w:tcPr>
            <w:tcW w:w="1744" w:type="dxa"/>
            <w:shd w:val="clear" w:color="000000" w:fill="FFFFFF"/>
            <w:vAlign w:val="center"/>
          </w:tcPr>
          <w:p w14:paraId="77D41766"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N</w:t>
            </w:r>
          </w:p>
        </w:tc>
        <w:tc>
          <w:tcPr>
            <w:tcW w:w="3969" w:type="dxa"/>
            <w:shd w:val="clear" w:color="000000" w:fill="FFFFFF"/>
            <w:vAlign w:val="center"/>
          </w:tcPr>
          <w:p w14:paraId="1E929BF1"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 administrativos y de apoyo</w:t>
            </w:r>
          </w:p>
        </w:tc>
        <w:tc>
          <w:tcPr>
            <w:tcW w:w="3399" w:type="dxa"/>
            <w:shd w:val="clear" w:color="000000" w:fill="FFFFFF"/>
            <w:vAlign w:val="center"/>
          </w:tcPr>
          <w:p w14:paraId="79753800"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647E01F3" w14:textId="77777777" w:rsidTr="00492810">
        <w:trPr>
          <w:trHeight w:val="605"/>
          <w:jc w:val="center"/>
        </w:trPr>
        <w:tc>
          <w:tcPr>
            <w:tcW w:w="1744" w:type="dxa"/>
            <w:shd w:val="clear" w:color="000000" w:fill="FFFFFF"/>
            <w:vAlign w:val="center"/>
          </w:tcPr>
          <w:p w14:paraId="0BAD3A89"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O</w:t>
            </w:r>
          </w:p>
        </w:tc>
        <w:tc>
          <w:tcPr>
            <w:tcW w:w="3969" w:type="dxa"/>
            <w:shd w:val="clear" w:color="000000" w:fill="FFFFFF"/>
            <w:vAlign w:val="center"/>
          </w:tcPr>
          <w:p w14:paraId="0FAB545E"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Administración pública, defensa, seguridad social </w:t>
            </w:r>
          </w:p>
        </w:tc>
        <w:tc>
          <w:tcPr>
            <w:tcW w:w="3399" w:type="dxa"/>
            <w:shd w:val="clear" w:color="000000" w:fill="FFFFFF"/>
            <w:vAlign w:val="center"/>
          </w:tcPr>
          <w:p w14:paraId="3AD04F46"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64BF1225" w14:textId="77777777" w:rsidTr="00492810">
        <w:trPr>
          <w:trHeight w:val="605"/>
          <w:jc w:val="center"/>
        </w:trPr>
        <w:tc>
          <w:tcPr>
            <w:tcW w:w="1744" w:type="dxa"/>
            <w:shd w:val="clear" w:color="000000" w:fill="FFFFFF"/>
            <w:vAlign w:val="center"/>
          </w:tcPr>
          <w:p w14:paraId="511DB918"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P</w:t>
            </w:r>
          </w:p>
        </w:tc>
        <w:tc>
          <w:tcPr>
            <w:tcW w:w="3969" w:type="dxa"/>
            <w:shd w:val="clear" w:color="000000" w:fill="FFFFFF"/>
            <w:vAlign w:val="center"/>
          </w:tcPr>
          <w:p w14:paraId="7C52A42F"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Enseñanza</w:t>
            </w:r>
          </w:p>
        </w:tc>
        <w:tc>
          <w:tcPr>
            <w:tcW w:w="3399" w:type="dxa"/>
            <w:shd w:val="clear" w:color="000000" w:fill="FFFFFF"/>
            <w:vAlign w:val="center"/>
          </w:tcPr>
          <w:p w14:paraId="09719072"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5D4FA5A1" w14:textId="77777777" w:rsidTr="00492810">
        <w:trPr>
          <w:trHeight w:val="605"/>
          <w:jc w:val="center"/>
        </w:trPr>
        <w:tc>
          <w:tcPr>
            <w:tcW w:w="1744" w:type="dxa"/>
            <w:shd w:val="clear" w:color="000000" w:fill="FFFFFF"/>
            <w:vAlign w:val="center"/>
          </w:tcPr>
          <w:p w14:paraId="11280024"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Q</w:t>
            </w:r>
          </w:p>
        </w:tc>
        <w:tc>
          <w:tcPr>
            <w:tcW w:w="3969" w:type="dxa"/>
            <w:shd w:val="clear" w:color="000000" w:fill="FFFFFF"/>
            <w:vAlign w:val="center"/>
          </w:tcPr>
          <w:p w14:paraId="469A31BB"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Atención de la salud humana y asistencia social </w:t>
            </w:r>
          </w:p>
        </w:tc>
        <w:tc>
          <w:tcPr>
            <w:tcW w:w="3399" w:type="dxa"/>
            <w:shd w:val="clear" w:color="000000" w:fill="FFFFFF"/>
            <w:vAlign w:val="center"/>
          </w:tcPr>
          <w:p w14:paraId="2472A5CE"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39D50203" w14:textId="77777777" w:rsidTr="00492810">
        <w:trPr>
          <w:trHeight w:val="605"/>
          <w:jc w:val="center"/>
        </w:trPr>
        <w:tc>
          <w:tcPr>
            <w:tcW w:w="1744" w:type="dxa"/>
            <w:shd w:val="clear" w:color="000000" w:fill="FFFFFF"/>
            <w:vAlign w:val="center"/>
          </w:tcPr>
          <w:p w14:paraId="5391EA81"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R</w:t>
            </w:r>
          </w:p>
        </w:tc>
        <w:tc>
          <w:tcPr>
            <w:tcW w:w="3969" w:type="dxa"/>
            <w:shd w:val="clear" w:color="000000" w:fill="FFFFFF"/>
            <w:vAlign w:val="center"/>
          </w:tcPr>
          <w:p w14:paraId="1FDE289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Artes, entretenimiento y recreación</w:t>
            </w:r>
          </w:p>
        </w:tc>
        <w:tc>
          <w:tcPr>
            <w:tcW w:w="3399" w:type="dxa"/>
            <w:shd w:val="clear" w:color="000000" w:fill="FFFFFF"/>
            <w:vAlign w:val="center"/>
          </w:tcPr>
          <w:p w14:paraId="28C8C908"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r w:rsidR="00CF0C1E" w:rsidRPr="00B10D09" w14:paraId="20DAF925" w14:textId="77777777" w:rsidTr="00492810">
        <w:trPr>
          <w:trHeight w:val="605"/>
          <w:jc w:val="center"/>
        </w:trPr>
        <w:tc>
          <w:tcPr>
            <w:tcW w:w="1744" w:type="dxa"/>
            <w:shd w:val="clear" w:color="000000" w:fill="FFFFFF"/>
            <w:vAlign w:val="center"/>
          </w:tcPr>
          <w:p w14:paraId="3BBAF938"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S</w:t>
            </w:r>
          </w:p>
        </w:tc>
        <w:tc>
          <w:tcPr>
            <w:tcW w:w="3969" w:type="dxa"/>
            <w:shd w:val="clear" w:color="000000" w:fill="FFFFFF"/>
            <w:vAlign w:val="center"/>
          </w:tcPr>
          <w:p w14:paraId="0EF7A1C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Otras actividades de servicios</w:t>
            </w:r>
          </w:p>
        </w:tc>
        <w:tc>
          <w:tcPr>
            <w:tcW w:w="3399" w:type="dxa"/>
            <w:shd w:val="clear" w:color="000000" w:fill="FFFFFF"/>
            <w:vAlign w:val="center"/>
          </w:tcPr>
          <w:p w14:paraId="4D0701C0"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Servicios</w:t>
            </w:r>
          </w:p>
        </w:tc>
      </w:tr>
    </w:tbl>
    <w:p w14:paraId="0B94C47B" w14:textId="77777777" w:rsidR="00492810" w:rsidRPr="00B10D09" w:rsidRDefault="00492810" w:rsidP="00443329">
      <w:pPr>
        <w:jc w:val="both"/>
        <w:rPr>
          <w:rFonts w:ascii="Century Gothic" w:hAnsi="Century Gothic"/>
          <w:color w:val="595959" w:themeColor="text1" w:themeTint="A6"/>
          <w:lang w:eastAsia="es-EC"/>
        </w:rPr>
      </w:pPr>
    </w:p>
    <w:p w14:paraId="65425376" w14:textId="798F8A30"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Grupo económico:</w:t>
      </w:r>
      <w:r w:rsidRPr="00B10D09">
        <w:rPr>
          <w:rFonts w:ascii="Century Gothic" w:hAnsi="Century Gothic"/>
          <w:color w:val="595959" w:themeColor="text1" w:themeTint="A6"/>
          <w:lang w:eastAsia="es-EC"/>
        </w:rPr>
        <w:t xml:space="preserve"> De acuerdo con el artículo 5 del Reglamento para la aplicación de la Ley de Régimen Tributario Interno, para fines tributarios, se define como grupo económico, al conjunto de partes, conformado por personas naturales y sociedades, tanto nacionales como extranjeras, donde una o varias de ellas posean directa o indirectamente 40% o más de la participación accionaria en otras sociedades.</w:t>
      </w:r>
    </w:p>
    <w:p w14:paraId="12B54110" w14:textId="77777777" w:rsidR="00301860" w:rsidRPr="00B10D09" w:rsidRDefault="00301860" w:rsidP="00301860">
      <w:pPr>
        <w:jc w:val="both"/>
        <w:rPr>
          <w:rFonts w:ascii="Century Gothic" w:hAnsi="Century Gothic"/>
          <w:color w:val="595959" w:themeColor="text1" w:themeTint="A6"/>
          <w:lang w:eastAsia="es-EC"/>
        </w:rPr>
      </w:pPr>
    </w:p>
    <w:p w14:paraId="3C88B939" w14:textId="45DE414B"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Instituciones públicas:</w:t>
      </w:r>
      <w:r w:rsidRPr="00B10D09">
        <w:rPr>
          <w:rFonts w:ascii="Century Gothic" w:hAnsi="Century Gothic"/>
          <w:color w:val="595959" w:themeColor="text1" w:themeTint="A6"/>
          <w:lang w:eastAsia="es-EC"/>
        </w:rPr>
        <w:t xml:space="preserve"> Organismo que ha sido fundado para un fin, especialmente el que desempeña una función de interés público.</w:t>
      </w:r>
    </w:p>
    <w:p w14:paraId="7A7BB308" w14:textId="77777777" w:rsidR="00301860" w:rsidRPr="00B10D09" w:rsidRDefault="00301860" w:rsidP="00301860">
      <w:pPr>
        <w:jc w:val="both"/>
        <w:rPr>
          <w:rFonts w:ascii="Century Gothic" w:hAnsi="Century Gothic"/>
          <w:color w:val="595959" w:themeColor="text1" w:themeTint="A6"/>
          <w:lang w:eastAsia="es-EC"/>
        </w:rPr>
      </w:pPr>
    </w:p>
    <w:p w14:paraId="64369400" w14:textId="0124DE8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Los organismos y entidades que integran el sector público, se encuentran establecidos en el artículo 225 de la Constitución Política de la República del Ecuador y son los siguientes:</w:t>
      </w:r>
    </w:p>
    <w:p w14:paraId="7E79B722" w14:textId="77777777" w:rsidR="00301860" w:rsidRPr="00B10D09" w:rsidRDefault="00301860" w:rsidP="00301860">
      <w:pPr>
        <w:jc w:val="both"/>
        <w:rPr>
          <w:rFonts w:ascii="Century Gothic" w:hAnsi="Century Gothic"/>
          <w:color w:val="595959" w:themeColor="text1" w:themeTint="A6"/>
          <w:lang w:eastAsia="es-EC"/>
        </w:rPr>
      </w:pPr>
    </w:p>
    <w:p w14:paraId="1CD8AB1B"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Los organismos y dependencias de las funciones Ejecutiva, Legislativa, Judicial, Electoral y de Transparencia y Control Social.</w:t>
      </w:r>
    </w:p>
    <w:p w14:paraId="3F28DBE3"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Las entidades que integran el régimen autónomo descentralizado.</w:t>
      </w:r>
    </w:p>
    <w:p w14:paraId="1D886C55"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Los organismos y entidades creados por la Constitución o la ley para el ejercicio de la potestad estatal, para la prestación de servicios públicos o para desarrollar actividades económicas asumidas por el Estado.</w:t>
      </w:r>
    </w:p>
    <w:p w14:paraId="15B0BCB1"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Las personas jurídicas creadas por acto normativo de los gobiernos autónomos descentralizados para la prestación de servicios públicos.</w:t>
      </w:r>
    </w:p>
    <w:p w14:paraId="3843948A" w14:textId="7C65DCF6"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Masa Salarial:</w:t>
      </w:r>
      <w:r w:rsidRPr="00B10D09">
        <w:rPr>
          <w:rFonts w:ascii="Century Gothic" w:hAnsi="Century Gothic"/>
          <w:color w:val="595959" w:themeColor="text1" w:themeTint="A6"/>
          <w:lang w:eastAsia="es-EC"/>
        </w:rPr>
        <w:t xml:space="preserve"> Es la suma total de remuneraciones en dinero o especie, satisfechas por las empresas a sus empleados en el año de estudio.</w:t>
      </w:r>
    </w:p>
    <w:p w14:paraId="6ADAC512" w14:textId="77777777" w:rsidR="00301860" w:rsidRPr="00B10D09" w:rsidRDefault="00301860" w:rsidP="00301860">
      <w:pPr>
        <w:jc w:val="both"/>
        <w:rPr>
          <w:rFonts w:ascii="Century Gothic" w:hAnsi="Century Gothic"/>
          <w:color w:val="595959" w:themeColor="text1" w:themeTint="A6"/>
          <w:lang w:eastAsia="es-EC"/>
        </w:rPr>
      </w:pPr>
    </w:p>
    <w:p w14:paraId="13A63B7E" w14:textId="02F1C1C6"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Nombre comercial:</w:t>
      </w:r>
      <w:r w:rsidRPr="00B10D09">
        <w:rPr>
          <w:rFonts w:ascii="Century Gothic" w:hAnsi="Century Gothic"/>
          <w:color w:val="595959" w:themeColor="text1" w:themeTint="A6"/>
          <w:lang w:eastAsia="es-EC"/>
        </w:rPr>
        <w:t xml:space="preserve"> Es el nombre con el que se identifica o anuncia una unidad económica. Generalmente es fácil reconocerlo porque es visible a través de anuncios publicitarios. Ejemplo: Estética Redux. Muchas veces el nombre comercial puede coincidir con la razón social.</w:t>
      </w:r>
    </w:p>
    <w:p w14:paraId="0FA375AA" w14:textId="77777777" w:rsidR="00301860" w:rsidRPr="00B10D09" w:rsidRDefault="00301860" w:rsidP="00301860">
      <w:pPr>
        <w:jc w:val="both"/>
        <w:rPr>
          <w:rFonts w:ascii="Century Gothic" w:hAnsi="Century Gothic"/>
          <w:color w:val="595959" w:themeColor="text1" w:themeTint="A6"/>
          <w:lang w:eastAsia="es-EC"/>
        </w:rPr>
      </w:pPr>
    </w:p>
    <w:p w14:paraId="6B44FD94" w14:textId="05A6AC9F"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 xml:space="preserve">Número de establecimientos: </w:t>
      </w:r>
      <w:r w:rsidRPr="00B10D09">
        <w:rPr>
          <w:rFonts w:ascii="Century Gothic" w:hAnsi="Century Gothic"/>
          <w:color w:val="595959" w:themeColor="text1" w:themeTint="A6"/>
          <w:lang w:eastAsia="es-EC"/>
        </w:rPr>
        <w:t>Cuantifica el número total de locales o establecimientos que tiene una sociedad o persona natural.</w:t>
      </w:r>
    </w:p>
    <w:p w14:paraId="6638F154" w14:textId="77777777" w:rsidR="00B52922" w:rsidRPr="00B10D09" w:rsidRDefault="00B52922" w:rsidP="00B52922">
      <w:pPr>
        <w:jc w:val="both"/>
        <w:rPr>
          <w:rFonts w:ascii="Century Gothic" w:hAnsi="Century Gothic"/>
          <w:color w:val="595959" w:themeColor="text1" w:themeTint="A6"/>
          <w:lang w:eastAsia="es-EC"/>
        </w:rPr>
      </w:pPr>
    </w:p>
    <w:p w14:paraId="50C1086E" w14:textId="138D1262"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Organización constituida en sociedad sin fines de lucro:</w:t>
      </w:r>
      <w:r w:rsidRPr="00B10D09">
        <w:rPr>
          <w:rFonts w:ascii="Century Gothic" w:hAnsi="Century Gothic"/>
          <w:color w:val="595959" w:themeColor="text1" w:themeTint="A6"/>
          <w:lang w:eastAsia="es-EC"/>
        </w:rPr>
        <w:t xml:space="preserve"> Son organizaciones que no tienen como objetivo el lucro económico; esto es que, a diferencia de las empresas, las utilidades que generan no son repartidas entre sus socios, sino que se destinan a su objeto social. En consecuencia, los ingresos que obtienen y que solo estén constituidos por cuotas sociales que aportan sus asociados, para el financiamiento de las actividades sociales que realiza, no constituyen renta para los efectos tributarios, </w:t>
      </w:r>
      <w:r w:rsidR="00B52922" w:rsidRPr="00B10D09">
        <w:rPr>
          <w:rFonts w:ascii="Century Gothic" w:hAnsi="Century Gothic"/>
          <w:color w:val="595959" w:themeColor="text1" w:themeTint="A6"/>
          <w:lang w:eastAsia="es-EC"/>
        </w:rPr>
        <w:t>como,</w:t>
      </w:r>
      <w:r w:rsidRPr="00B10D09">
        <w:rPr>
          <w:rFonts w:ascii="Century Gothic" w:hAnsi="Century Gothic"/>
          <w:color w:val="595959" w:themeColor="text1" w:themeTint="A6"/>
          <w:lang w:eastAsia="es-EC"/>
        </w:rPr>
        <w:t xml:space="preserve"> asimismo, todo otro ingreso que una ley determinada tipifique como no constitutivo de renta tributable.</w:t>
      </w:r>
    </w:p>
    <w:p w14:paraId="227D169F" w14:textId="77777777" w:rsidR="00B52922" w:rsidRPr="00B10D09" w:rsidRDefault="00B52922" w:rsidP="00B52922">
      <w:pPr>
        <w:jc w:val="both"/>
        <w:rPr>
          <w:rFonts w:ascii="Century Gothic" w:hAnsi="Century Gothic"/>
          <w:color w:val="595959" w:themeColor="text1" w:themeTint="A6"/>
          <w:lang w:eastAsia="es-EC"/>
        </w:rPr>
      </w:pPr>
    </w:p>
    <w:p w14:paraId="186D52EF" w14:textId="3F0BA16B"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Organizaciones de la economía popular y solidaria:</w:t>
      </w:r>
      <w:r w:rsidRPr="00B10D09">
        <w:rPr>
          <w:rFonts w:ascii="Century Gothic" w:hAnsi="Century Gothic"/>
          <w:color w:val="595959" w:themeColor="text1" w:themeTint="A6"/>
          <w:lang w:eastAsia="es-EC"/>
        </w:rPr>
        <w:t xml:space="preserve"> Son organizaciones económicas, donde sus integrantes, individual o colectivamente, organizan y desarrollan procesos de producción, intercambio, comercialización, financiamiento y consumo de bienes y servicios, para satisfacer necesidades y generar ingresos.</w:t>
      </w:r>
    </w:p>
    <w:p w14:paraId="3C3C548C" w14:textId="77777777" w:rsidR="00B013F9" w:rsidRPr="00B10D09" w:rsidRDefault="00B013F9" w:rsidP="00B013F9">
      <w:pPr>
        <w:jc w:val="both"/>
        <w:rPr>
          <w:rFonts w:ascii="Century Gothic" w:hAnsi="Century Gothic"/>
          <w:color w:val="595959" w:themeColor="text1" w:themeTint="A6"/>
          <w:lang w:eastAsia="es-EC"/>
        </w:rPr>
      </w:pPr>
    </w:p>
    <w:p w14:paraId="35134EAD" w14:textId="05AC4671"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 xml:space="preserve">Las relaciones se basen en la solidaridad, cooperación y reciprocidad, privilegiando al trabajo y al ser humano como sujeto y fin de su actividad, orientada al buen vivir, en armonía con la naturaleza, por sobre la apropiación, el lucro y la acumulación de capital. </w:t>
      </w:r>
    </w:p>
    <w:p w14:paraId="3D1713D3" w14:textId="77777777" w:rsidR="00B013F9" w:rsidRPr="00B10D09" w:rsidRDefault="00B013F9" w:rsidP="00B013F9">
      <w:pPr>
        <w:jc w:val="both"/>
        <w:rPr>
          <w:rFonts w:ascii="Century Gothic" w:hAnsi="Century Gothic"/>
          <w:color w:val="595959" w:themeColor="text1" w:themeTint="A6"/>
          <w:lang w:eastAsia="es-EC"/>
        </w:rPr>
      </w:pPr>
    </w:p>
    <w:p w14:paraId="40BE1100" w14:textId="34570B00"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color w:val="595959" w:themeColor="text1" w:themeTint="A6"/>
          <w:lang w:eastAsia="es-EC"/>
        </w:rPr>
        <w:t xml:space="preserve">Integran la Economía Popular y Solidaria: los Sectores Comunitarios, Asociativos y Cooperativistas, así como también las Unidades Económicas Populares. Estas organizaciones son reguladas por la Superintendencia de Economía Popular y Solidaria. </w:t>
      </w:r>
    </w:p>
    <w:p w14:paraId="0A4DD1F3" w14:textId="77777777" w:rsidR="00B013F9" w:rsidRPr="00B10D09" w:rsidRDefault="00B013F9" w:rsidP="00B013F9">
      <w:pPr>
        <w:jc w:val="both"/>
        <w:rPr>
          <w:rFonts w:ascii="Century Gothic" w:hAnsi="Century Gothic"/>
          <w:color w:val="595959" w:themeColor="text1" w:themeTint="A6"/>
          <w:lang w:eastAsia="es-EC"/>
        </w:rPr>
      </w:pPr>
    </w:p>
    <w:p w14:paraId="569EF1C8" w14:textId="5B54D073"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Personal ocupado:</w:t>
      </w:r>
      <w:r w:rsidRPr="00B10D09">
        <w:rPr>
          <w:rFonts w:ascii="Century Gothic" w:hAnsi="Century Gothic"/>
          <w:color w:val="595959" w:themeColor="text1" w:themeTint="A6"/>
          <w:lang w:eastAsia="es-EC"/>
        </w:rPr>
        <w:t xml:space="preserve"> Comprende a todas las personas que trabajan en o para el establecimiento. Se incluye a todos aquellos trabajadores que se encuentran en vacaciones, con descanso por enfermedad, en huelga o en cualquier tipo de descanso de corto plazo. Se excluye a los trabajadores a domicilio, las personas en uso de licencia indefinida o en el servicio militar.</w:t>
      </w:r>
    </w:p>
    <w:p w14:paraId="5FCDB62D" w14:textId="77777777" w:rsidR="00B013F9" w:rsidRPr="00B10D09" w:rsidRDefault="00B013F9" w:rsidP="00B013F9">
      <w:pPr>
        <w:jc w:val="both"/>
        <w:rPr>
          <w:rFonts w:ascii="Century Gothic" w:hAnsi="Century Gothic"/>
          <w:color w:val="595959" w:themeColor="text1" w:themeTint="A6"/>
          <w:lang w:eastAsia="es-EC"/>
        </w:rPr>
      </w:pPr>
    </w:p>
    <w:p w14:paraId="2AAE7C1F" w14:textId="533C066C"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Personal afiliado:</w:t>
      </w:r>
      <w:r w:rsidRPr="00B10D09">
        <w:rPr>
          <w:rFonts w:ascii="Century Gothic" w:hAnsi="Century Gothic"/>
          <w:color w:val="595959" w:themeColor="text1" w:themeTint="A6"/>
          <w:lang w:eastAsia="es-EC"/>
        </w:rPr>
        <w:t xml:space="preserve"> Todas las personas que perciben ingresos por la ejecución de una obra o la prestación de un servicio físico e intelectual con relación laboral o sin ella, son sujetos obligados a solicitar la protección del seguro general obligatorio, en calidad de afiliados.</w:t>
      </w:r>
    </w:p>
    <w:p w14:paraId="40CF2D55" w14:textId="77777777" w:rsidR="00B013F9" w:rsidRPr="00B10D09" w:rsidRDefault="00B013F9" w:rsidP="00B013F9">
      <w:pPr>
        <w:jc w:val="both"/>
        <w:rPr>
          <w:rFonts w:ascii="Century Gothic" w:hAnsi="Century Gothic"/>
          <w:color w:val="595959" w:themeColor="text1" w:themeTint="A6"/>
          <w:lang w:eastAsia="es-EC"/>
        </w:rPr>
      </w:pPr>
    </w:p>
    <w:p w14:paraId="02DC6B69" w14:textId="7173E5D2"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Plaza de empleo registrado en la seguridad social:</w:t>
      </w:r>
      <w:r w:rsidRPr="00443329">
        <w:rPr>
          <w:rFonts w:ascii="Century Gothic" w:hAnsi="Century Gothic"/>
          <w:color w:val="595959" w:themeColor="text1" w:themeTint="A6"/>
        </w:rPr>
        <w:t xml:space="preserve"> </w:t>
      </w:r>
      <w:r w:rsidRPr="00B10D09">
        <w:rPr>
          <w:rFonts w:ascii="Century Gothic" w:hAnsi="Century Gothic"/>
          <w:color w:val="595959" w:themeColor="text1" w:themeTint="A6"/>
          <w:lang w:eastAsia="es-EC"/>
        </w:rPr>
        <w:t>Es el número de actividades para producir bienes o prestar servicios a cambio de una remuneración o beneficios, registradas en el Instituto Ecuatoriano de Seguridad Social (IESS), que realizan las personas en edad de trabajar en el año de referencia.</w:t>
      </w:r>
    </w:p>
    <w:p w14:paraId="0644AEE4" w14:textId="77777777" w:rsidR="00B013F9" w:rsidRDefault="00B013F9" w:rsidP="00B013F9">
      <w:pPr>
        <w:jc w:val="both"/>
        <w:rPr>
          <w:rFonts w:ascii="Century Gothic" w:hAnsi="Century Gothic"/>
          <w:color w:val="595959" w:themeColor="text1" w:themeTint="A6"/>
          <w:lang w:eastAsia="es-EC"/>
        </w:rPr>
      </w:pPr>
    </w:p>
    <w:p w14:paraId="7256F0C5" w14:textId="468EBC75" w:rsidR="00144C9D" w:rsidRPr="00144C9D" w:rsidRDefault="00144C9D" w:rsidP="00B013F9">
      <w:pPr>
        <w:jc w:val="both"/>
        <w:rPr>
          <w:rFonts w:ascii="Century Gothic" w:hAnsi="Century Gothic"/>
          <w:b/>
          <w:color w:val="595959" w:themeColor="text1" w:themeTint="A6"/>
          <w:lang w:eastAsia="es-EC"/>
        </w:rPr>
      </w:pPr>
      <w:r w:rsidRPr="0057354C">
        <w:rPr>
          <w:rFonts w:ascii="Century Gothic" w:hAnsi="Century Gothic"/>
          <w:b/>
          <w:color w:val="595959" w:themeColor="text1" w:themeTint="A6"/>
          <w:lang w:eastAsia="es-EC"/>
        </w:rPr>
        <w:t>Plazas de empleo registrado equivalente:</w:t>
      </w:r>
      <w:r w:rsidR="0057354C" w:rsidRPr="0057354C">
        <w:rPr>
          <w:rFonts w:ascii="Century Gothic" w:hAnsi="Century Gothic" w:cs="Calibri"/>
          <w:color w:val="595959" w:themeColor="text1" w:themeTint="A6"/>
          <w:lang w:val="es-ES_tradnl"/>
        </w:rPr>
        <w:t xml:space="preserve"> </w:t>
      </w:r>
      <w:r w:rsidR="0057354C" w:rsidRPr="002A2308">
        <w:rPr>
          <w:rFonts w:ascii="Century Gothic" w:hAnsi="Century Gothic" w:cs="Calibri"/>
          <w:color w:val="595959" w:themeColor="text1" w:themeTint="A6"/>
          <w:lang w:val="es-ES_tradnl"/>
        </w:rPr>
        <w:t>Es el número de actividades para producir bienes o prestar servicios a cambio de una remuneración o beneficios, registradas en el Instituto Ecuatoriano de Seguridad Social (IESS), que realizan las personas en edad de trabajar, se obtiene realizando la sumatoria de</w:t>
      </w:r>
      <w:r w:rsidR="007D4D27">
        <w:rPr>
          <w:rFonts w:ascii="Century Gothic" w:hAnsi="Century Gothic" w:cs="Calibri"/>
          <w:color w:val="595959" w:themeColor="text1" w:themeTint="A6"/>
          <w:lang w:val="es-ES_tradnl"/>
        </w:rPr>
        <w:t xml:space="preserve"> </w:t>
      </w:r>
      <w:r w:rsidR="0057354C" w:rsidRPr="002A2308">
        <w:rPr>
          <w:rFonts w:ascii="Century Gothic" w:hAnsi="Century Gothic" w:cs="Calibri"/>
          <w:color w:val="595959" w:themeColor="text1" w:themeTint="A6"/>
          <w:lang w:val="es-ES_tradnl"/>
        </w:rPr>
        <w:t>l</w:t>
      </w:r>
      <w:r w:rsidR="007D4D27">
        <w:rPr>
          <w:rFonts w:ascii="Century Gothic" w:hAnsi="Century Gothic" w:cs="Calibri"/>
          <w:color w:val="595959" w:themeColor="text1" w:themeTint="A6"/>
          <w:lang w:val="es-ES_tradnl"/>
        </w:rPr>
        <w:t>as</w:t>
      </w:r>
      <w:bookmarkStart w:id="246" w:name="_GoBack"/>
      <w:bookmarkEnd w:id="246"/>
      <w:r w:rsidR="0057354C" w:rsidRPr="002A2308">
        <w:rPr>
          <w:rFonts w:ascii="Century Gothic" w:hAnsi="Century Gothic" w:cs="Calibri"/>
          <w:color w:val="595959" w:themeColor="text1" w:themeTint="A6"/>
          <w:lang w:val="es-ES_tradnl"/>
        </w:rPr>
        <w:t xml:space="preserve"> plazas de empleo reportado y</w:t>
      </w:r>
      <w:r w:rsidR="0057354C">
        <w:rPr>
          <w:rFonts w:ascii="Century Gothic" w:hAnsi="Century Gothic" w:cs="Calibri"/>
          <w:color w:val="595959" w:themeColor="text1" w:themeTint="A6"/>
          <w:lang w:val="es-ES_tradnl"/>
        </w:rPr>
        <w:t xml:space="preserve"> luego dividido para doce meses.</w:t>
      </w:r>
    </w:p>
    <w:p w14:paraId="3B8B8415" w14:textId="77777777" w:rsidR="00144C9D" w:rsidRPr="00B10D09" w:rsidRDefault="00144C9D" w:rsidP="00B013F9">
      <w:pPr>
        <w:jc w:val="both"/>
        <w:rPr>
          <w:rFonts w:ascii="Century Gothic" w:hAnsi="Century Gothic"/>
          <w:color w:val="595959" w:themeColor="text1" w:themeTint="A6"/>
          <w:lang w:eastAsia="es-EC"/>
        </w:rPr>
      </w:pPr>
    </w:p>
    <w:p w14:paraId="5D114CD2" w14:textId="2BCB1BF6"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Remuneraciones:</w:t>
      </w:r>
      <w:r w:rsidRPr="00B10D09">
        <w:rPr>
          <w:rFonts w:ascii="Century Gothic" w:hAnsi="Century Gothic"/>
          <w:color w:val="595959" w:themeColor="text1" w:themeTint="A6"/>
          <w:lang w:eastAsia="es-EC"/>
        </w:rPr>
        <w:t xml:space="preserve"> Corresponde a los valores que las empresas han pagado por concepto de servicios a sus empleadores.</w:t>
      </w:r>
    </w:p>
    <w:p w14:paraId="29FC6EAE" w14:textId="77777777" w:rsidR="00B013F9" w:rsidRPr="00B10D09" w:rsidRDefault="00B013F9" w:rsidP="00B013F9">
      <w:pPr>
        <w:jc w:val="both"/>
        <w:rPr>
          <w:rFonts w:ascii="Century Gothic" w:hAnsi="Century Gothic"/>
          <w:color w:val="595959" w:themeColor="text1" w:themeTint="A6"/>
          <w:lang w:eastAsia="es-EC"/>
        </w:rPr>
      </w:pPr>
    </w:p>
    <w:p w14:paraId="7BBCFE89" w14:textId="0A224200"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Parroquias rurales:</w:t>
      </w:r>
      <w:r w:rsidRPr="00B10D09">
        <w:rPr>
          <w:rFonts w:ascii="Century Gothic" w:hAnsi="Century Gothic"/>
          <w:color w:val="595959" w:themeColor="text1" w:themeTint="A6"/>
          <w:lang w:eastAsia="es-EC"/>
        </w:rPr>
        <w:t xml:space="preserve"> constituyen circunscripciones territoriales integradas a un cantón a través de ordenanza expedida por el respectivo concejo municipal o metropolitano.</w:t>
      </w:r>
    </w:p>
    <w:p w14:paraId="5F4AA921" w14:textId="77777777" w:rsidR="00B013F9" w:rsidRPr="00B10D09" w:rsidRDefault="00B013F9" w:rsidP="00B013F9">
      <w:pPr>
        <w:jc w:val="both"/>
        <w:rPr>
          <w:rFonts w:ascii="Century Gothic" w:hAnsi="Century Gothic"/>
          <w:color w:val="595959" w:themeColor="text1" w:themeTint="A6"/>
          <w:lang w:eastAsia="es-EC"/>
        </w:rPr>
      </w:pPr>
    </w:p>
    <w:p w14:paraId="1C7DD458" w14:textId="665B57FF"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Productividad:</w:t>
      </w:r>
      <w:r w:rsidRPr="00B10D09">
        <w:rPr>
          <w:rFonts w:ascii="Century Gothic" w:hAnsi="Century Gothic"/>
          <w:color w:val="595959" w:themeColor="text1" w:themeTint="A6"/>
          <w:lang w:eastAsia="es-EC"/>
        </w:rPr>
        <w:t xml:space="preserve"> (conocido como eficiencia) Es la relación entre la producción obtenida y los recursos utilizados, constituye el grado en que se aprovechan los recursos, y la evaluación de la rentabilidad dentro de la unidad económica. </w:t>
      </w:r>
    </w:p>
    <w:p w14:paraId="594BB48A" w14:textId="77777777" w:rsidR="00B013F9" w:rsidRPr="00B10D09" w:rsidRDefault="00B013F9" w:rsidP="00B013F9">
      <w:pPr>
        <w:jc w:val="both"/>
        <w:rPr>
          <w:rFonts w:ascii="Century Gothic" w:hAnsi="Century Gothic"/>
          <w:color w:val="595959" w:themeColor="text1" w:themeTint="A6"/>
          <w:lang w:eastAsia="es-EC"/>
        </w:rPr>
      </w:pPr>
    </w:p>
    <w:p w14:paraId="2247F023" w14:textId="19A38301"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Productividad en ventas:</w:t>
      </w:r>
      <w:r w:rsidRPr="00B10D09">
        <w:rPr>
          <w:rFonts w:ascii="Century Gothic" w:hAnsi="Century Gothic"/>
          <w:color w:val="595959" w:themeColor="text1" w:themeTint="A6"/>
          <w:lang w:eastAsia="es-EC"/>
        </w:rPr>
        <w:t xml:space="preserve"> es la relación entre el volumen de ventas totales y el número de personal afiliado, como un indicador del nivel de ventas promedio generado por cada trabajador.</w:t>
      </w:r>
    </w:p>
    <w:p w14:paraId="30E58C1D" w14:textId="77777777" w:rsidR="00B013F9" w:rsidRPr="00B10D09" w:rsidRDefault="00B013F9" w:rsidP="00B013F9">
      <w:pPr>
        <w:jc w:val="both"/>
        <w:rPr>
          <w:rFonts w:ascii="Century Gothic" w:hAnsi="Century Gothic"/>
          <w:color w:val="595959" w:themeColor="text1" w:themeTint="A6"/>
          <w:lang w:eastAsia="es-EC"/>
        </w:rPr>
      </w:pPr>
    </w:p>
    <w:p w14:paraId="3CD44316" w14:textId="0171D70A"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Provincias:</w:t>
      </w:r>
      <w:r w:rsidRPr="00B10D09">
        <w:rPr>
          <w:rFonts w:ascii="Century Gothic" w:hAnsi="Century Gothic"/>
          <w:color w:val="595959" w:themeColor="text1" w:themeTint="A6"/>
          <w:lang w:eastAsia="es-EC"/>
        </w:rPr>
        <w:t xml:space="preserve"> Son circunscripciones territoriales integradas por los cantones que legalmente les correspondan. Corresponde a un nivel intermedio de organización territorial.</w:t>
      </w:r>
    </w:p>
    <w:p w14:paraId="075354C8" w14:textId="77777777" w:rsidR="00B013F9" w:rsidRPr="00B10D09" w:rsidRDefault="00B013F9" w:rsidP="00B013F9">
      <w:pPr>
        <w:jc w:val="both"/>
        <w:rPr>
          <w:rFonts w:ascii="Century Gothic" w:hAnsi="Century Gothic"/>
          <w:color w:val="595959" w:themeColor="text1" w:themeTint="A6"/>
          <w:lang w:eastAsia="es-EC"/>
        </w:rPr>
      </w:pPr>
    </w:p>
    <w:p w14:paraId="361E6AB3" w14:textId="77777777" w:rsidR="00492810" w:rsidRPr="00B10D09" w:rsidRDefault="00492810" w:rsidP="00443329">
      <w:pPr>
        <w:jc w:val="both"/>
        <w:rPr>
          <w:rFonts w:ascii="Century Gothic" w:eastAsia="Times New Roman" w:hAnsi="Century Gothic" w:cs="Century Gothic"/>
          <w:color w:val="595959" w:themeColor="text1" w:themeTint="A6"/>
          <w:lang w:val="es-ES" w:eastAsia="es-ES"/>
        </w:rPr>
      </w:pPr>
      <w:r w:rsidRPr="00B10D09">
        <w:rPr>
          <w:rFonts w:ascii="Century Gothic" w:hAnsi="Century Gothic"/>
          <w:b/>
          <w:bCs/>
          <w:color w:val="595959" w:themeColor="text1" w:themeTint="A6"/>
          <w:lang w:eastAsia="es-EC"/>
        </w:rPr>
        <w:t>Rango de edad:</w:t>
      </w:r>
      <w:r w:rsidRPr="00B10D09">
        <w:rPr>
          <w:rFonts w:ascii="Century Gothic" w:hAnsi="Century Gothic"/>
          <w:color w:val="595959" w:themeColor="text1" w:themeTint="A6"/>
          <w:lang w:eastAsia="es-EC"/>
        </w:rPr>
        <w:t xml:space="preserve"> corresponde a los rangos de edades establecidos para una mejor comprensión de los indicadores laborales en términos de plazas de empleo registrado y empleo registrado. </w:t>
      </w:r>
      <w:r w:rsidRPr="00B10D09">
        <w:rPr>
          <w:rFonts w:ascii="Century Gothic" w:eastAsia="Times New Roman" w:hAnsi="Century Gothic" w:cs="Century Gothic"/>
          <w:color w:val="595959" w:themeColor="text1" w:themeTint="A6"/>
          <w:lang w:val="es-ES" w:eastAsia="es-ES"/>
        </w:rPr>
        <w:t>Se consideran los siguientes rangos de edad:</w:t>
      </w:r>
    </w:p>
    <w:p w14:paraId="47F02859" w14:textId="77777777" w:rsidR="00492810" w:rsidRPr="00443329" w:rsidRDefault="00492810" w:rsidP="00443329">
      <w:pPr>
        <w:numPr>
          <w:ilvl w:val="0"/>
          <w:numId w:val="32"/>
        </w:numPr>
        <w:spacing w:after="240" w:line="276" w:lineRule="auto"/>
        <w:contextualSpacing/>
        <w:jc w:val="both"/>
        <w:rPr>
          <w:rFonts w:ascii="Century Gothic" w:hAnsi="Century Gothic"/>
          <w:color w:val="595959" w:themeColor="text1" w:themeTint="A6"/>
          <w:lang w:val="es-ES_tradnl"/>
        </w:rPr>
      </w:pPr>
      <w:r w:rsidRPr="00B10D09">
        <w:rPr>
          <w:rFonts w:ascii="Century Gothic" w:eastAsia="Times New Roman" w:hAnsi="Century Gothic" w:cs="Times New Roman"/>
          <w:color w:val="595959" w:themeColor="text1" w:themeTint="A6"/>
          <w:lang w:val="es-ES_tradnl"/>
        </w:rPr>
        <w:t>Entre 15 y 17 años</w:t>
      </w:r>
    </w:p>
    <w:p w14:paraId="6348B792" w14:textId="77777777" w:rsidR="00492810" w:rsidRPr="00443329" w:rsidRDefault="00492810" w:rsidP="00443329">
      <w:pPr>
        <w:numPr>
          <w:ilvl w:val="0"/>
          <w:numId w:val="32"/>
        </w:numPr>
        <w:spacing w:after="240" w:line="276" w:lineRule="auto"/>
        <w:contextualSpacing/>
        <w:jc w:val="both"/>
        <w:rPr>
          <w:rFonts w:ascii="Century Gothic" w:hAnsi="Century Gothic"/>
          <w:color w:val="595959" w:themeColor="text1" w:themeTint="A6"/>
          <w:lang w:val="es-ES_tradnl"/>
        </w:rPr>
      </w:pPr>
      <w:r w:rsidRPr="00B10D09">
        <w:rPr>
          <w:rFonts w:ascii="Century Gothic" w:eastAsia="Times New Roman" w:hAnsi="Century Gothic" w:cs="Times New Roman"/>
          <w:color w:val="595959" w:themeColor="text1" w:themeTint="A6"/>
          <w:lang w:val="es-ES_tradnl"/>
        </w:rPr>
        <w:t>Entre 18 y 29 años</w:t>
      </w:r>
    </w:p>
    <w:p w14:paraId="77B742B0" w14:textId="77777777" w:rsidR="00492810" w:rsidRPr="00443329" w:rsidRDefault="00492810" w:rsidP="00443329">
      <w:pPr>
        <w:numPr>
          <w:ilvl w:val="0"/>
          <w:numId w:val="32"/>
        </w:numPr>
        <w:spacing w:after="240" w:line="276" w:lineRule="auto"/>
        <w:contextualSpacing/>
        <w:jc w:val="both"/>
        <w:rPr>
          <w:rFonts w:ascii="Century Gothic" w:hAnsi="Century Gothic"/>
          <w:color w:val="595959" w:themeColor="text1" w:themeTint="A6"/>
          <w:lang w:val="es-ES_tradnl"/>
        </w:rPr>
      </w:pPr>
      <w:r w:rsidRPr="00B10D09">
        <w:rPr>
          <w:rFonts w:ascii="Century Gothic" w:eastAsia="Times New Roman" w:hAnsi="Century Gothic" w:cs="Times New Roman"/>
          <w:color w:val="595959" w:themeColor="text1" w:themeTint="A6"/>
          <w:lang w:val="es-ES_tradnl"/>
        </w:rPr>
        <w:t>Entre 30 y 44 años</w:t>
      </w:r>
    </w:p>
    <w:p w14:paraId="4C86544C" w14:textId="77777777" w:rsidR="00492810" w:rsidRPr="00443329" w:rsidRDefault="00492810" w:rsidP="00443329">
      <w:pPr>
        <w:numPr>
          <w:ilvl w:val="0"/>
          <w:numId w:val="32"/>
        </w:numPr>
        <w:spacing w:after="240" w:line="276" w:lineRule="auto"/>
        <w:contextualSpacing/>
        <w:jc w:val="both"/>
        <w:rPr>
          <w:rFonts w:ascii="Century Gothic" w:hAnsi="Century Gothic"/>
          <w:color w:val="595959" w:themeColor="text1" w:themeTint="A6"/>
          <w:lang w:val="es-ES_tradnl"/>
        </w:rPr>
      </w:pPr>
      <w:r w:rsidRPr="00B10D09">
        <w:rPr>
          <w:rFonts w:ascii="Century Gothic" w:eastAsia="Times New Roman" w:hAnsi="Century Gothic" w:cs="Times New Roman"/>
          <w:color w:val="595959" w:themeColor="text1" w:themeTint="A6"/>
          <w:lang w:val="es-ES_tradnl"/>
        </w:rPr>
        <w:t>Entre 45 y 64 años</w:t>
      </w:r>
    </w:p>
    <w:p w14:paraId="585CB2E9" w14:textId="77777777" w:rsidR="00492810" w:rsidRPr="00443329" w:rsidRDefault="00492810" w:rsidP="00443329">
      <w:pPr>
        <w:numPr>
          <w:ilvl w:val="0"/>
          <w:numId w:val="32"/>
        </w:numPr>
        <w:spacing w:after="240" w:line="276" w:lineRule="auto"/>
        <w:contextualSpacing/>
        <w:jc w:val="both"/>
        <w:rPr>
          <w:rFonts w:ascii="Century Gothic" w:hAnsi="Century Gothic"/>
          <w:color w:val="595959" w:themeColor="text1" w:themeTint="A6"/>
          <w:lang w:val="es-ES_tradnl"/>
        </w:rPr>
      </w:pPr>
      <w:r w:rsidRPr="00B10D09">
        <w:rPr>
          <w:rFonts w:ascii="Century Gothic" w:eastAsia="Times New Roman" w:hAnsi="Century Gothic" w:cs="Times New Roman"/>
          <w:color w:val="595959" w:themeColor="text1" w:themeTint="A6"/>
          <w:lang w:val="es-ES_tradnl"/>
        </w:rPr>
        <w:t>65 años y más.</w:t>
      </w:r>
    </w:p>
    <w:p w14:paraId="77488389" w14:textId="77777777" w:rsidR="00492810" w:rsidRPr="00B10D09" w:rsidRDefault="00492810" w:rsidP="00443329">
      <w:pPr>
        <w:jc w:val="both"/>
        <w:rPr>
          <w:rFonts w:ascii="Century Gothic" w:hAnsi="Century Gothic"/>
          <w:b/>
          <w:color w:val="595959" w:themeColor="text1" w:themeTint="A6"/>
          <w:lang w:eastAsia="es-EC"/>
        </w:rPr>
      </w:pPr>
    </w:p>
    <w:p w14:paraId="33EB1861" w14:textId="143842E5"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Razón social:</w:t>
      </w:r>
      <w:r w:rsidRPr="00B10D09">
        <w:rPr>
          <w:rFonts w:ascii="Century Gothic" w:hAnsi="Century Gothic"/>
          <w:color w:val="595959" w:themeColor="text1" w:themeTint="A6"/>
          <w:lang w:eastAsia="es-EC"/>
        </w:rPr>
        <w:t xml:space="preserve"> Es el nombre con el que está legalmente constituida la unidad legal sean sociedades o personas naturales. Para el caso de sociedades mercantiles el nombre va acompañado de una abreviación que señala el tipo de compañía por ejemplo (LA FAVORITA S.A.).</w:t>
      </w:r>
    </w:p>
    <w:p w14:paraId="4D6AFE8E" w14:textId="77777777" w:rsidR="00B013F9" w:rsidRPr="00B10D09" w:rsidRDefault="00B013F9" w:rsidP="00B013F9">
      <w:pPr>
        <w:jc w:val="both"/>
        <w:rPr>
          <w:rFonts w:ascii="Century Gothic" w:hAnsi="Century Gothic"/>
          <w:color w:val="595959" w:themeColor="text1" w:themeTint="A6"/>
          <w:lang w:eastAsia="es-EC"/>
        </w:rPr>
      </w:pPr>
    </w:p>
    <w:p w14:paraId="5D131395" w14:textId="77777777"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Región natural:</w:t>
      </w:r>
      <w:r w:rsidRPr="00B10D09">
        <w:rPr>
          <w:rFonts w:ascii="Century Gothic" w:hAnsi="Century Gothic"/>
          <w:color w:val="595959" w:themeColor="text1" w:themeTint="A6"/>
          <w:lang w:eastAsia="es-EC"/>
        </w:rPr>
        <w:t xml:space="preserve"> se refiere a que cada una de las unidades territoriales determinadas por el relieve, el clima y la vegetación. Las regiones naturales del Ecuador son:</w:t>
      </w:r>
    </w:p>
    <w:p w14:paraId="3FE32CDF" w14:textId="77777777" w:rsidR="00492810" w:rsidRPr="00443329" w:rsidRDefault="00492810" w:rsidP="003C20C6">
      <w:pPr>
        <w:pStyle w:val="Prrafodelista"/>
        <w:numPr>
          <w:ilvl w:val="0"/>
          <w:numId w:val="12"/>
        </w:numPr>
        <w:rPr>
          <w:rFonts w:ascii="Century Gothic" w:hAnsi="Century Gothic"/>
          <w:color w:val="595959" w:themeColor="text1" w:themeTint="A6"/>
          <w:sz w:val="24"/>
        </w:rPr>
      </w:pPr>
      <w:r w:rsidRPr="00443329">
        <w:rPr>
          <w:rFonts w:ascii="Century Gothic" w:hAnsi="Century Gothic"/>
          <w:color w:val="595959" w:themeColor="text1" w:themeTint="A6"/>
          <w:sz w:val="24"/>
        </w:rPr>
        <w:t>Sierra</w:t>
      </w:r>
    </w:p>
    <w:p w14:paraId="093D3684" w14:textId="77777777" w:rsidR="00492810" w:rsidRPr="00443329" w:rsidRDefault="00492810" w:rsidP="003C20C6">
      <w:pPr>
        <w:pStyle w:val="Prrafodelista"/>
        <w:numPr>
          <w:ilvl w:val="0"/>
          <w:numId w:val="12"/>
        </w:numPr>
        <w:rPr>
          <w:rFonts w:ascii="Century Gothic" w:hAnsi="Century Gothic"/>
          <w:color w:val="595959" w:themeColor="text1" w:themeTint="A6"/>
          <w:sz w:val="24"/>
        </w:rPr>
      </w:pPr>
      <w:r w:rsidRPr="00443329">
        <w:rPr>
          <w:rFonts w:ascii="Century Gothic" w:hAnsi="Century Gothic"/>
          <w:color w:val="595959" w:themeColor="text1" w:themeTint="A6"/>
          <w:sz w:val="24"/>
        </w:rPr>
        <w:t>Costa</w:t>
      </w:r>
    </w:p>
    <w:p w14:paraId="0C610EB8" w14:textId="77777777" w:rsidR="00492810" w:rsidRPr="00443329" w:rsidRDefault="00492810" w:rsidP="003C20C6">
      <w:pPr>
        <w:pStyle w:val="Prrafodelista"/>
        <w:numPr>
          <w:ilvl w:val="0"/>
          <w:numId w:val="12"/>
        </w:numPr>
        <w:rPr>
          <w:rFonts w:ascii="Century Gothic" w:hAnsi="Century Gothic"/>
          <w:color w:val="595959" w:themeColor="text1" w:themeTint="A6"/>
          <w:sz w:val="24"/>
        </w:rPr>
      </w:pPr>
      <w:r w:rsidRPr="00443329">
        <w:rPr>
          <w:rFonts w:ascii="Century Gothic" w:hAnsi="Century Gothic"/>
          <w:color w:val="595959" w:themeColor="text1" w:themeTint="A6"/>
          <w:sz w:val="24"/>
        </w:rPr>
        <w:t>Oriente</w:t>
      </w:r>
    </w:p>
    <w:p w14:paraId="027E5521" w14:textId="77777777" w:rsidR="00492810" w:rsidRPr="00443329" w:rsidRDefault="00492810" w:rsidP="003C20C6">
      <w:pPr>
        <w:pStyle w:val="Prrafodelista"/>
        <w:numPr>
          <w:ilvl w:val="0"/>
          <w:numId w:val="12"/>
        </w:numPr>
        <w:rPr>
          <w:rFonts w:ascii="Century Gothic" w:hAnsi="Century Gothic"/>
          <w:color w:val="595959" w:themeColor="text1" w:themeTint="A6"/>
          <w:sz w:val="24"/>
        </w:rPr>
      </w:pPr>
      <w:r w:rsidRPr="00443329">
        <w:rPr>
          <w:rFonts w:ascii="Century Gothic" w:hAnsi="Century Gothic"/>
          <w:color w:val="595959" w:themeColor="text1" w:themeTint="A6"/>
          <w:sz w:val="24"/>
        </w:rPr>
        <w:t>Insular</w:t>
      </w:r>
    </w:p>
    <w:p w14:paraId="439493E0" w14:textId="5B9CA262"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Registro:</w:t>
      </w:r>
      <w:r w:rsidRPr="00B10D09">
        <w:rPr>
          <w:rFonts w:ascii="Century Gothic" w:hAnsi="Century Gothic"/>
          <w:color w:val="595959" w:themeColor="text1" w:themeTint="A6"/>
          <w:lang w:eastAsia="es-EC"/>
        </w:rPr>
        <w:t xml:space="preserve"> Lista de objetos que busca contener el total de elementos de una población determinada y datos individualizados sobre sus principales características. Permiten identificar de manera inequívoca a cada objeto de tal forma que el registro pueda ser actualizado y ampliado con nuevas variables para cada objeto.</w:t>
      </w:r>
    </w:p>
    <w:p w14:paraId="230E6431" w14:textId="77777777" w:rsidR="00B013F9" w:rsidRPr="00B10D09" w:rsidRDefault="00B013F9" w:rsidP="00B013F9">
      <w:pPr>
        <w:jc w:val="both"/>
        <w:rPr>
          <w:rFonts w:ascii="Century Gothic" w:hAnsi="Century Gothic"/>
          <w:color w:val="595959" w:themeColor="text1" w:themeTint="A6"/>
          <w:lang w:eastAsia="es-EC"/>
        </w:rPr>
      </w:pPr>
    </w:p>
    <w:p w14:paraId="35F9DDC2" w14:textId="4AFAC7A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Registro administrativo:</w:t>
      </w:r>
      <w:r w:rsidRPr="00B10D09">
        <w:rPr>
          <w:rFonts w:ascii="Century Gothic" w:hAnsi="Century Gothic"/>
          <w:color w:val="595959" w:themeColor="text1" w:themeTint="A6"/>
          <w:lang w:eastAsia="es-EC"/>
        </w:rPr>
        <w:t xml:space="preserve"> Serie de datos sobre un tipo de sujeto, acción, hecho o evento, obtenidos mediante un proceso de captación, con base en un formato específico ya sea impreso o en medios computacionales, y que realiza una institución pública, bajo un marco de funciones y facultades formalmente establecidas en instrumentos jurídicos, reglamentarios o programáticos.</w:t>
      </w:r>
    </w:p>
    <w:p w14:paraId="11CA4450" w14:textId="77777777" w:rsidR="00B013F9" w:rsidRPr="00B10D09" w:rsidRDefault="00B013F9" w:rsidP="00B013F9">
      <w:pPr>
        <w:jc w:val="both"/>
        <w:rPr>
          <w:rFonts w:ascii="Century Gothic" w:hAnsi="Century Gothic"/>
          <w:color w:val="595959" w:themeColor="text1" w:themeTint="A6"/>
          <w:lang w:eastAsia="es-EC"/>
        </w:rPr>
      </w:pPr>
    </w:p>
    <w:p w14:paraId="4DBD1CBD" w14:textId="2C16D9D9"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Registro estadístico:</w:t>
      </w:r>
      <w:r w:rsidRPr="00B10D09">
        <w:rPr>
          <w:rFonts w:ascii="Century Gothic" w:hAnsi="Century Gothic"/>
          <w:color w:val="595959" w:themeColor="text1" w:themeTint="A6"/>
          <w:lang w:eastAsia="es-EC"/>
        </w:rPr>
        <w:t xml:space="preserve"> Conjunto de datos relacionados a entes o unidades de observación (personas, empresas, inmuebles u otras), que son almacenados y utilizados con distintos fines, usualmente no estadísticos, que las organizaciones públicas y privadas mantienen como parte de su función; es decir, creado con la finalidad de facilitar la administración de sus actividades o sus necesidades fiscales, tributarias u otras.</w:t>
      </w:r>
    </w:p>
    <w:p w14:paraId="03B01F12" w14:textId="77777777" w:rsidR="00B013F9" w:rsidRPr="00B10D09" w:rsidRDefault="00B013F9" w:rsidP="00B013F9">
      <w:pPr>
        <w:jc w:val="both"/>
        <w:rPr>
          <w:rFonts w:ascii="Century Gothic" w:hAnsi="Century Gothic"/>
          <w:color w:val="595959" w:themeColor="text1" w:themeTint="A6"/>
          <w:lang w:eastAsia="es-EC"/>
        </w:rPr>
      </w:pPr>
    </w:p>
    <w:p w14:paraId="6B046084" w14:textId="1DC374A8"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RISE:</w:t>
      </w:r>
      <w:r w:rsidRPr="00B10D09">
        <w:rPr>
          <w:rFonts w:ascii="Century Gothic" w:hAnsi="Century Gothic"/>
          <w:color w:val="595959" w:themeColor="text1" w:themeTint="A6"/>
          <w:lang w:eastAsia="es-EC"/>
        </w:rPr>
        <w:t xml:space="preserve"> se acogen al RISE pequeños negocios con ventas al año inferiores a US$ 60.000 y con menos de 10 empleados. Pequeños negocios cuyos propietarios, además, perciban ingresos en relación de dependencia anuales menores a la fracción básica del impuesto a la Renta y en conjunto con las ventas del negocio no superen los US$ 60.000 anuales. Quienes inicien actividades económicas y no prevean superar ventas por US$ 60.000 anuales.</w:t>
      </w:r>
    </w:p>
    <w:p w14:paraId="6E5F01BB" w14:textId="77777777" w:rsidR="00B013F9" w:rsidRPr="00B10D09" w:rsidRDefault="00B013F9" w:rsidP="00B013F9">
      <w:pPr>
        <w:jc w:val="both"/>
        <w:rPr>
          <w:rFonts w:ascii="Century Gothic" w:hAnsi="Century Gothic"/>
          <w:color w:val="595959" w:themeColor="text1" w:themeTint="A6"/>
          <w:lang w:eastAsia="es-EC"/>
        </w:rPr>
      </w:pPr>
    </w:p>
    <w:p w14:paraId="21F78A56" w14:textId="77777777" w:rsidR="00492810" w:rsidRPr="00443329" w:rsidRDefault="00492810" w:rsidP="003C20C6">
      <w:pPr>
        <w:pStyle w:val="Prrafodelista"/>
        <w:numPr>
          <w:ilvl w:val="0"/>
          <w:numId w:val="13"/>
        </w:numPr>
        <w:rPr>
          <w:rFonts w:ascii="Century Gothic" w:hAnsi="Century Gothic"/>
          <w:color w:val="595959" w:themeColor="text1" w:themeTint="A6"/>
          <w:sz w:val="24"/>
        </w:rPr>
      </w:pPr>
      <w:r w:rsidRPr="00443329">
        <w:rPr>
          <w:rFonts w:ascii="Century Gothic" w:hAnsi="Century Gothic"/>
          <w:color w:val="595959" w:themeColor="text1" w:themeTint="A6"/>
          <w:sz w:val="24"/>
        </w:rPr>
        <w:t>Actividades que pueden inscribirse:</w:t>
      </w:r>
    </w:p>
    <w:p w14:paraId="3082CBC0"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Agricultores.</w:t>
      </w:r>
    </w:p>
    <w:p w14:paraId="24CF5BAB"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Pescadores.</w:t>
      </w:r>
    </w:p>
    <w:p w14:paraId="41FC7D92"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Ganaderos.</w:t>
      </w:r>
    </w:p>
    <w:p w14:paraId="0E6A2AB3"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Avicultores.</w:t>
      </w:r>
    </w:p>
    <w:p w14:paraId="19F4D4A5"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Mineros.</w:t>
      </w:r>
    </w:p>
    <w:p w14:paraId="608E7995"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Transportistas.</w:t>
      </w:r>
    </w:p>
    <w:p w14:paraId="54DB3972" w14:textId="1CEC5548" w:rsidR="00492810" w:rsidRPr="00443329" w:rsidRDefault="00B013F9" w:rsidP="003C20C6">
      <w:pPr>
        <w:pStyle w:val="Prrafodelista"/>
        <w:numPr>
          <w:ilvl w:val="0"/>
          <w:numId w:val="11"/>
        </w:numPr>
        <w:rPr>
          <w:rFonts w:ascii="Century Gothic" w:hAnsi="Century Gothic"/>
          <w:color w:val="595959" w:themeColor="text1" w:themeTint="A6"/>
          <w:sz w:val="24"/>
        </w:rPr>
      </w:pPr>
      <w:r w:rsidRPr="00B013F9">
        <w:rPr>
          <w:rFonts w:ascii="Century Gothic" w:hAnsi="Century Gothic"/>
          <w:color w:val="595959" w:themeColor="text1" w:themeTint="A6"/>
          <w:sz w:val="24"/>
        </w:rPr>
        <w:t>Micro industriales</w:t>
      </w:r>
      <w:r w:rsidR="00492810" w:rsidRPr="00443329">
        <w:rPr>
          <w:rFonts w:ascii="Century Gothic" w:hAnsi="Century Gothic"/>
          <w:color w:val="595959" w:themeColor="text1" w:themeTint="A6"/>
          <w:sz w:val="24"/>
        </w:rPr>
        <w:t>.</w:t>
      </w:r>
    </w:p>
    <w:p w14:paraId="7937AEF7"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Restaurantes y hoteles.</w:t>
      </w:r>
    </w:p>
    <w:p w14:paraId="684030CA"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Servicios de construcción.</w:t>
      </w:r>
    </w:p>
    <w:p w14:paraId="019CA75A"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Trabajadores autónomos.</w:t>
      </w:r>
    </w:p>
    <w:p w14:paraId="71CCE5BC"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Comerciantes minoristas.</w:t>
      </w:r>
    </w:p>
    <w:p w14:paraId="5C96466C"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Otros servicios en general.</w:t>
      </w:r>
    </w:p>
    <w:p w14:paraId="0C187C9F" w14:textId="77777777" w:rsidR="00492810" w:rsidRPr="00443329" w:rsidRDefault="00492810" w:rsidP="003C20C6">
      <w:pPr>
        <w:pStyle w:val="Prrafodelista"/>
        <w:numPr>
          <w:ilvl w:val="0"/>
          <w:numId w:val="11"/>
        </w:numPr>
        <w:rPr>
          <w:rFonts w:ascii="Century Gothic" w:hAnsi="Century Gothic"/>
          <w:color w:val="595959" w:themeColor="text1" w:themeTint="A6"/>
          <w:sz w:val="24"/>
        </w:rPr>
      </w:pPr>
      <w:r w:rsidRPr="00443329">
        <w:rPr>
          <w:rFonts w:ascii="Century Gothic" w:hAnsi="Century Gothic"/>
          <w:color w:val="595959" w:themeColor="text1" w:themeTint="A6"/>
          <w:sz w:val="24"/>
        </w:rPr>
        <w:t>Otros microempresarios en general.</w:t>
      </w:r>
    </w:p>
    <w:p w14:paraId="22719C02" w14:textId="77777777" w:rsidR="00492810" w:rsidRPr="00B10D09" w:rsidRDefault="00492810" w:rsidP="00443329">
      <w:pPr>
        <w:jc w:val="both"/>
        <w:rPr>
          <w:rFonts w:ascii="Century Gothic" w:hAnsi="Century Gothic"/>
          <w:color w:val="595959" w:themeColor="text1" w:themeTint="A6"/>
          <w:lang w:eastAsia="es-EC"/>
        </w:rPr>
      </w:pPr>
    </w:p>
    <w:p w14:paraId="7B7AADB3" w14:textId="77777777" w:rsidR="00492810" w:rsidRPr="00443329" w:rsidRDefault="00492810" w:rsidP="003C20C6">
      <w:pPr>
        <w:pStyle w:val="Prrafodelista"/>
        <w:numPr>
          <w:ilvl w:val="0"/>
          <w:numId w:val="13"/>
        </w:numPr>
        <w:rPr>
          <w:rFonts w:ascii="Century Gothic" w:hAnsi="Century Gothic"/>
          <w:color w:val="595959" w:themeColor="text1" w:themeTint="A6"/>
          <w:sz w:val="24"/>
        </w:rPr>
      </w:pPr>
      <w:r w:rsidRPr="00443329">
        <w:rPr>
          <w:rFonts w:ascii="Century Gothic" w:hAnsi="Century Gothic"/>
          <w:color w:val="595959" w:themeColor="text1" w:themeTint="A6"/>
          <w:sz w:val="24"/>
        </w:rPr>
        <w:t>Quienes no pueden ingresar al RISE:</w:t>
      </w:r>
    </w:p>
    <w:p w14:paraId="2C6695F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Personas jurídicas- sociedades.</w:t>
      </w:r>
    </w:p>
    <w:p w14:paraId="76946BA9"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Personas que fueron agentes de retención en los últimos 3 años.</w:t>
      </w:r>
    </w:p>
    <w:p w14:paraId="36F33C6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Quienes desarrollen actividades de:</w:t>
      </w:r>
    </w:p>
    <w:p w14:paraId="2C617877"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Propaganda y publicidad; de comercialización y distribución de combustibles.</w:t>
      </w:r>
    </w:p>
    <w:p w14:paraId="32572B6C"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Libre ejercicio profesional.</w:t>
      </w:r>
    </w:p>
    <w:p w14:paraId="55299EEE"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Arrendamiento de Bienes muebles e inmuebles.</w:t>
      </w:r>
    </w:p>
    <w:p w14:paraId="38C3025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Comisionistas.</w:t>
      </w:r>
    </w:p>
    <w:p w14:paraId="2C3E1422"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Producción y cultivo de banano.</w:t>
      </w:r>
    </w:p>
    <w:p w14:paraId="6497233B"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Etc.</w:t>
      </w:r>
    </w:p>
    <w:p w14:paraId="152F8832" w14:textId="676B44F2"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RUC (Registro Único de Contribuyentes):</w:t>
      </w:r>
      <w:r w:rsidRPr="00B10D09">
        <w:rPr>
          <w:rFonts w:ascii="Century Gothic" w:hAnsi="Century Gothic"/>
          <w:color w:val="595959" w:themeColor="text1" w:themeTint="A6"/>
          <w:lang w:eastAsia="es-EC"/>
        </w:rPr>
        <w:t xml:space="preserve"> El RUC corresponde a un número de identificación para todas las personas naturales y sociedades que realicen alguna actividad económica en el Ecuador, en forma permanente u ocasional o que sean titulares de bienes o derechos por los cuales deban pagar impuestos.</w:t>
      </w:r>
    </w:p>
    <w:p w14:paraId="1940E4CA" w14:textId="77777777" w:rsidR="00B013F9" w:rsidRPr="00B10D09" w:rsidRDefault="00B013F9" w:rsidP="00B013F9">
      <w:pPr>
        <w:jc w:val="both"/>
        <w:rPr>
          <w:rFonts w:ascii="Century Gothic" w:hAnsi="Century Gothic"/>
          <w:color w:val="595959" w:themeColor="text1" w:themeTint="A6"/>
          <w:lang w:eastAsia="es-EC"/>
        </w:rPr>
      </w:pPr>
    </w:p>
    <w:p w14:paraId="5B88A002" w14:textId="08C5966E"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Tipo de unidad legal:</w:t>
      </w:r>
      <w:r w:rsidRPr="00B10D09">
        <w:rPr>
          <w:rFonts w:ascii="Century Gothic" w:hAnsi="Century Gothic"/>
          <w:color w:val="595959" w:themeColor="text1" w:themeTint="A6"/>
          <w:lang w:eastAsia="es-EC"/>
        </w:rPr>
        <w:t xml:space="preserve"> Es la clasificación de las sociedades de acuerdo a la constitución legal de la empresa. Según la forma legal como se ha constituido la empresa, esta puede ser persona natural (ejerce derechos y cumple obligaciones a título personal) o persona jurídica (ejerce derechos y cumple obligaciones a nombre de una sociedad).</w:t>
      </w:r>
    </w:p>
    <w:p w14:paraId="1F28AEF0" w14:textId="77777777" w:rsidR="00B013F9" w:rsidRPr="00B10D09" w:rsidRDefault="00B013F9" w:rsidP="00B013F9">
      <w:pPr>
        <w:jc w:val="both"/>
        <w:rPr>
          <w:rFonts w:ascii="Century Gothic" w:hAnsi="Century Gothic"/>
          <w:color w:val="595959" w:themeColor="text1" w:themeTint="A6"/>
          <w:lang w:eastAsia="es-EC"/>
        </w:rPr>
      </w:pPr>
    </w:p>
    <w:p w14:paraId="236F4F42" w14:textId="007E9FCC" w:rsidR="00492810" w:rsidRDefault="00492810" w:rsidP="00736A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Tipo de establecimiento:</w:t>
      </w:r>
      <w:r w:rsidRPr="00B10D09">
        <w:rPr>
          <w:rFonts w:ascii="Century Gothic" w:hAnsi="Century Gothic"/>
          <w:color w:val="595959" w:themeColor="text1" w:themeTint="A6"/>
          <w:lang w:eastAsia="es-EC"/>
        </w:rPr>
        <w:t xml:space="preserve"> Grupo de categorías que sirve para identificar si un establecimiento es único, matriz, sucursal, o auxiliar:</w:t>
      </w:r>
    </w:p>
    <w:p w14:paraId="14C50D3C" w14:textId="77777777" w:rsidR="00B013F9" w:rsidRPr="00B10D09" w:rsidRDefault="00B013F9" w:rsidP="00B013F9">
      <w:pPr>
        <w:jc w:val="both"/>
        <w:rPr>
          <w:rFonts w:ascii="Century Gothic" w:hAnsi="Century Gothic"/>
          <w:color w:val="595959" w:themeColor="text1" w:themeTint="A6"/>
          <w:lang w:eastAsia="es-EC"/>
        </w:rPr>
      </w:pPr>
    </w:p>
    <w:p w14:paraId="00406B5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b/>
          <w:color w:val="595959" w:themeColor="text1" w:themeTint="A6"/>
          <w:sz w:val="24"/>
        </w:rPr>
        <w:t>Único:</w:t>
      </w:r>
      <w:r w:rsidRPr="00443329">
        <w:rPr>
          <w:rFonts w:ascii="Century Gothic" w:hAnsi="Century Gothic"/>
          <w:color w:val="595959" w:themeColor="text1" w:themeTint="A6"/>
          <w:sz w:val="24"/>
        </w:rPr>
        <w:t xml:space="preserve"> Es la unidad económica que, bajo la responsabilidad de uno o varios propietarios, realiza su actividad económica de manera independiente, se representa legal y jurídicamente por sí mismo, no comparte la razón social con otros establecimientos y realiza directamente sus operaciones económicas. Ejemplos: una fábrica, un taller, una tienda de abarrotes, un hotel, un almacén de electrodomésticos, etc.</w:t>
      </w:r>
    </w:p>
    <w:p w14:paraId="4262FD0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b/>
          <w:color w:val="595959" w:themeColor="text1" w:themeTint="A6"/>
          <w:sz w:val="24"/>
        </w:rPr>
        <w:t>Matriz:</w:t>
      </w:r>
      <w:r w:rsidRPr="00443329">
        <w:rPr>
          <w:rFonts w:ascii="Century Gothic" w:hAnsi="Century Gothic"/>
          <w:color w:val="595959" w:themeColor="text1" w:themeTint="A6"/>
          <w:sz w:val="24"/>
        </w:rPr>
        <w:t xml:space="preserve"> Establecimiento que controla a otros establecimientos con los que comparte la razón social. Puede realizar funciones de producción de bienes, compra-venta de mercaderías, prestación de servicios o actividades de apoyo (actividades administrativas, donde se da la información).</w:t>
      </w:r>
    </w:p>
    <w:p w14:paraId="6A923BF4"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b/>
          <w:color w:val="595959" w:themeColor="text1" w:themeTint="A6"/>
          <w:sz w:val="24"/>
        </w:rPr>
        <w:t>Sucursal:</w:t>
      </w:r>
      <w:r w:rsidRPr="00443329">
        <w:rPr>
          <w:rFonts w:ascii="Century Gothic" w:hAnsi="Century Gothic"/>
          <w:color w:val="595959" w:themeColor="text1" w:themeTint="A6"/>
          <w:sz w:val="24"/>
        </w:rPr>
        <w:t xml:space="preserve"> Establecimiento que depende de un establecimiento matriz para el control contable, administrativo y legal, comparte la razón social, puede estar en la misma ciudad o en otra, puede realizar funciones de producción de bienes, compra-venta de mercaderías, prestación de servicios o actividades de apoyo.</w:t>
      </w:r>
    </w:p>
    <w:p w14:paraId="0712E745"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b/>
          <w:color w:val="595959" w:themeColor="text1" w:themeTint="A6"/>
          <w:sz w:val="24"/>
        </w:rPr>
        <w:t>Auxiliar:</w:t>
      </w:r>
      <w:r w:rsidRPr="00443329">
        <w:rPr>
          <w:rFonts w:ascii="Century Gothic" w:hAnsi="Century Gothic"/>
          <w:color w:val="595959" w:themeColor="text1" w:themeTint="A6"/>
          <w:sz w:val="24"/>
        </w:rPr>
        <w:t xml:space="preserve"> Son aquellos establecimientos que no generan ingresos derivados de las actividades que desarrollan. Están separados físicamente del resto de establecimientos. Sirven únicamente de apoyo, una bodega, un parqueadero, un call center dedicado a campañas publicitarias de una empresa, etc.</w:t>
      </w:r>
    </w:p>
    <w:p w14:paraId="7B3EFD8E" w14:textId="7E6EB7A6"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Tamaño de empresa:</w:t>
      </w:r>
      <w:r w:rsidRPr="00B10D09">
        <w:rPr>
          <w:rFonts w:ascii="Century Gothic" w:hAnsi="Century Gothic"/>
          <w:color w:val="595959" w:themeColor="text1" w:themeTint="A6"/>
          <w:lang w:eastAsia="es-EC"/>
        </w:rPr>
        <w:t xml:space="preserve"> corresponde a la estratificación que se dará a cada empresa, de acuerdo con el volumen de ventas y/o el número de personas ocupadas, para lo cual debemos considerar los siguientes parámetros:</w:t>
      </w:r>
    </w:p>
    <w:p w14:paraId="7888676B" w14:textId="23F4677D" w:rsidR="001056B6" w:rsidRDefault="001056B6" w:rsidP="00443329">
      <w:pPr>
        <w:jc w:val="both"/>
        <w:rPr>
          <w:rFonts w:ascii="Century Gothic" w:hAnsi="Century Gothic"/>
          <w:color w:val="595959" w:themeColor="text1" w:themeTint="A6"/>
          <w:lang w:eastAsia="es-EC"/>
        </w:rPr>
      </w:pP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2"/>
        <w:gridCol w:w="3714"/>
        <w:gridCol w:w="3180"/>
      </w:tblGrid>
      <w:tr w:rsidR="00CF0C1E" w:rsidRPr="00B10D09" w14:paraId="45E6208D" w14:textId="77777777" w:rsidTr="00144C9D">
        <w:trPr>
          <w:trHeight w:val="491"/>
          <w:tblHeader/>
          <w:jc w:val="center"/>
        </w:trPr>
        <w:tc>
          <w:tcPr>
            <w:tcW w:w="1632" w:type="dxa"/>
            <w:shd w:val="clear" w:color="auto" w:fill="1F3864" w:themeFill="accent1" w:themeFillShade="80"/>
            <w:vAlign w:val="center"/>
            <w:hideMark/>
          </w:tcPr>
          <w:p w14:paraId="3A923955" w14:textId="77777777" w:rsidR="00492810" w:rsidRPr="001056B6" w:rsidRDefault="00492810" w:rsidP="00CF0C1E">
            <w:pPr>
              <w:jc w:val="center"/>
              <w:rPr>
                <w:rFonts w:ascii="Century Gothic" w:hAnsi="Century Gothic"/>
                <w:b/>
                <w:color w:val="FFFFFF" w:themeColor="background1"/>
              </w:rPr>
            </w:pPr>
            <w:r w:rsidRPr="001056B6">
              <w:rPr>
                <w:rFonts w:ascii="Century Gothic" w:hAnsi="Century Gothic"/>
                <w:b/>
                <w:color w:val="FFFFFF" w:themeColor="background1"/>
              </w:rPr>
              <w:t>Tamaño de empresas</w:t>
            </w:r>
          </w:p>
        </w:tc>
        <w:tc>
          <w:tcPr>
            <w:tcW w:w="3714" w:type="dxa"/>
            <w:shd w:val="clear" w:color="auto" w:fill="1F3864" w:themeFill="accent1" w:themeFillShade="80"/>
            <w:vAlign w:val="center"/>
            <w:hideMark/>
          </w:tcPr>
          <w:p w14:paraId="16AE3864" w14:textId="77777777" w:rsidR="00492810" w:rsidRPr="001056B6" w:rsidRDefault="00492810" w:rsidP="00CF0C1E">
            <w:pPr>
              <w:jc w:val="center"/>
              <w:rPr>
                <w:rFonts w:ascii="Century Gothic" w:hAnsi="Century Gothic"/>
                <w:b/>
                <w:color w:val="FFFFFF" w:themeColor="background1"/>
                <w:szCs w:val="22"/>
              </w:rPr>
            </w:pPr>
            <w:r w:rsidRPr="001056B6">
              <w:rPr>
                <w:rFonts w:ascii="Century Gothic" w:hAnsi="Century Gothic"/>
                <w:b/>
                <w:color w:val="FFFFFF" w:themeColor="background1"/>
              </w:rPr>
              <w:t>Ventas anuales (dólares)</w:t>
            </w:r>
          </w:p>
        </w:tc>
        <w:tc>
          <w:tcPr>
            <w:tcW w:w="3180" w:type="dxa"/>
            <w:shd w:val="clear" w:color="auto" w:fill="1F3864" w:themeFill="accent1" w:themeFillShade="80"/>
            <w:vAlign w:val="center"/>
          </w:tcPr>
          <w:p w14:paraId="34B604E2" w14:textId="77777777" w:rsidR="00492810" w:rsidRPr="001056B6" w:rsidRDefault="00492810" w:rsidP="00CF0C1E">
            <w:pPr>
              <w:jc w:val="center"/>
              <w:rPr>
                <w:rFonts w:ascii="Century Gothic" w:hAnsi="Century Gothic"/>
                <w:b/>
                <w:color w:val="FFFFFF" w:themeColor="background1"/>
                <w:szCs w:val="22"/>
              </w:rPr>
            </w:pPr>
            <w:r w:rsidRPr="001056B6">
              <w:rPr>
                <w:rFonts w:ascii="Century Gothic" w:hAnsi="Century Gothic"/>
                <w:b/>
                <w:color w:val="FFFFFF" w:themeColor="background1"/>
              </w:rPr>
              <w:t>Personal ocupado</w:t>
            </w:r>
          </w:p>
        </w:tc>
      </w:tr>
      <w:tr w:rsidR="00CF0C1E" w:rsidRPr="00B10D09" w14:paraId="6C0C455D" w14:textId="77777777" w:rsidTr="00736A29">
        <w:trPr>
          <w:trHeight w:val="582"/>
          <w:jc w:val="center"/>
        </w:trPr>
        <w:tc>
          <w:tcPr>
            <w:tcW w:w="1632" w:type="dxa"/>
            <w:shd w:val="clear" w:color="000000" w:fill="FFFFFF"/>
          </w:tcPr>
          <w:p w14:paraId="287BA1E2"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Micro empresa</w:t>
            </w:r>
          </w:p>
        </w:tc>
        <w:tc>
          <w:tcPr>
            <w:tcW w:w="3714" w:type="dxa"/>
            <w:shd w:val="clear" w:color="000000" w:fill="FFFFFF"/>
          </w:tcPr>
          <w:p w14:paraId="29FE1AB8"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Menor a 100.000</w:t>
            </w:r>
          </w:p>
        </w:tc>
        <w:tc>
          <w:tcPr>
            <w:tcW w:w="3180" w:type="dxa"/>
            <w:shd w:val="clear" w:color="000000" w:fill="FFFFFF"/>
          </w:tcPr>
          <w:p w14:paraId="1453C07D"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1 a 9</w:t>
            </w:r>
          </w:p>
        </w:tc>
      </w:tr>
      <w:tr w:rsidR="00CF0C1E" w:rsidRPr="00B10D09" w14:paraId="740D2180" w14:textId="77777777" w:rsidTr="00736A29">
        <w:trPr>
          <w:trHeight w:val="582"/>
          <w:jc w:val="center"/>
        </w:trPr>
        <w:tc>
          <w:tcPr>
            <w:tcW w:w="1632" w:type="dxa"/>
            <w:shd w:val="clear" w:color="000000" w:fill="FFFFFF"/>
          </w:tcPr>
          <w:p w14:paraId="2DCDE557"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Pequeña empresa</w:t>
            </w:r>
          </w:p>
        </w:tc>
        <w:tc>
          <w:tcPr>
            <w:tcW w:w="3714" w:type="dxa"/>
            <w:shd w:val="clear" w:color="000000" w:fill="FFFFFF"/>
          </w:tcPr>
          <w:p w14:paraId="4EE40B74"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De 100.001 a 1´000.000</w:t>
            </w:r>
          </w:p>
        </w:tc>
        <w:tc>
          <w:tcPr>
            <w:tcW w:w="3180" w:type="dxa"/>
            <w:shd w:val="clear" w:color="000000" w:fill="FFFFFF"/>
          </w:tcPr>
          <w:p w14:paraId="1D983A9C"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10 a 49</w:t>
            </w:r>
          </w:p>
        </w:tc>
      </w:tr>
      <w:tr w:rsidR="00CF0C1E" w:rsidRPr="00B10D09" w14:paraId="763594D7" w14:textId="77777777" w:rsidTr="00736A29">
        <w:trPr>
          <w:trHeight w:val="582"/>
          <w:jc w:val="center"/>
        </w:trPr>
        <w:tc>
          <w:tcPr>
            <w:tcW w:w="1632" w:type="dxa"/>
            <w:shd w:val="clear" w:color="000000" w:fill="FFFFFF"/>
          </w:tcPr>
          <w:p w14:paraId="36CB197F"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Mediana empresa "A"</w:t>
            </w:r>
          </w:p>
        </w:tc>
        <w:tc>
          <w:tcPr>
            <w:tcW w:w="3714" w:type="dxa"/>
            <w:shd w:val="clear" w:color="000000" w:fill="FFFFFF"/>
          </w:tcPr>
          <w:p w14:paraId="289DE97E"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De 1´000.001 a 2´000.000</w:t>
            </w:r>
          </w:p>
        </w:tc>
        <w:tc>
          <w:tcPr>
            <w:tcW w:w="3180" w:type="dxa"/>
            <w:shd w:val="clear" w:color="000000" w:fill="FFFFFF"/>
          </w:tcPr>
          <w:p w14:paraId="4D133DC5"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50 a 99</w:t>
            </w:r>
          </w:p>
        </w:tc>
      </w:tr>
      <w:tr w:rsidR="00CF0C1E" w:rsidRPr="00B10D09" w14:paraId="79363665" w14:textId="77777777" w:rsidTr="00736A29">
        <w:trPr>
          <w:trHeight w:val="582"/>
          <w:jc w:val="center"/>
        </w:trPr>
        <w:tc>
          <w:tcPr>
            <w:tcW w:w="1632" w:type="dxa"/>
            <w:shd w:val="clear" w:color="000000" w:fill="FFFFFF"/>
          </w:tcPr>
          <w:p w14:paraId="009BF9FD"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Mediana empresa "B"</w:t>
            </w:r>
          </w:p>
        </w:tc>
        <w:tc>
          <w:tcPr>
            <w:tcW w:w="3714" w:type="dxa"/>
            <w:shd w:val="clear" w:color="000000" w:fill="FFFFFF"/>
          </w:tcPr>
          <w:p w14:paraId="7AD21860"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De 2´000.001 a 5´000.000</w:t>
            </w:r>
          </w:p>
        </w:tc>
        <w:tc>
          <w:tcPr>
            <w:tcW w:w="3180" w:type="dxa"/>
            <w:shd w:val="clear" w:color="000000" w:fill="FFFFFF"/>
          </w:tcPr>
          <w:p w14:paraId="68FE274A"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100 a 199</w:t>
            </w:r>
          </w:p>
        </w:tc>
      </w:tr>
      <w:tr w:rsidR="00CF0C1E" w:rsidRPr="00B10D09" w14:paraId="1A80B2E1" w14:textId="77777777" w:rsidTr="00736A29">
        <w:trPr>
          <w:trHeight w:val="582"/>
          <w:jc w:val="center"/>
        </w:trPr>
        <w:tc>
          <w:tcPr>
            <w:tcW w:w="1632" w:type="dxa"/>
            <w:shd w:val="clear" w:color="000000" w:fill="FFFFFF"/>
          </w:tcPr>
          <w:p w14:paraId="2FD1ABD7" w14:textId="77777777" w:rsidR="00492810" w:rsidRPr="00443329" w:rsidRDefault="00492810" w:rsidP="00CF0C1E">
            <w:pPr>
              <w:jc w:val="center"/>
              <w:rPr>
                <w:rFonts w:ascii="Century Gothic" w:hAnsi="Century Gothic"/>
                <w:color w:val="595959" w:themeColor="text1" w:themeTint="A6"/>
              </w:rPr>
            </w:pPr>
            <w:r w:rsidRPr="00443329">
              <w:rPr>
                <w:rFonts w:ascii="Century Gothic" w:hAnsi="Century Gothic"/>
                <w:color w:val="595959" w:themeColor="text1" w:themeTint="A6"/>
              </w:rPr>
              <w:t>Grande empresa</w:t>
            </w:r>
          </w:p>
        </w:tc>
        <w:tc>
          <w:tcPr>
            <w:tcW w:w="3714" w:type="dxa"/>
            <w:shd w:val="clear" w:color="000000" w:fill="FFFFFF"/>
          </w:tcPr>
          <w:p w14:paraId="19BA275B"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De 5´000.001 en adelante</w:t>
            </w:r>
          </w:p>
        </w:tc>
        <w:tc>
          <w:tcPr>
            <w:tcW w:w="3180" w:type="dxa"/>
            <w:shd w:val="clear" w:color="000000" w:fill="FFFFFF"/>
          </w:tcPr>
          <w:p w14:paraId="15849624" w14:textId="77777777" w:rsidR="00492810" w:rsidRPr="00443329" w:rsidRDefault="00492810" w:rsidP="00CF0C1E">
            <w:pPr>
              <w:jc w:val="center"/>
              <w:rPr>
                <w:rFonts w:ascii="Century Gothic" w:hAnsi="Century Gothic"/>
                <w:color w:val="595959" w:themeColor="text1" w:themeTint="A6"/>
                <w:szCs w:val="22"/>
              </w:rPr>
            </w:pPr>
            <w:r w:rsidRPr="00443329">
              <w:rPr>
                <w:rFonts w:ascii="Century Gothic" w:hAnsi="Century Gothic"/>
                <w:color w:val="595959" w:themeColor="text1" w:themeTint="A6"/>
              </w:rPr>
              <w:t>200 en adelante</w:t>
            </w:r>
          </w:p>
        </w:tc>
      </w:tr>
    </w:tbl>
    <w:p w14:paraId="565B265F" w14:textId="77777777" w:rsidR="00492810" w:rsidRPr="00443329" w:rsidRDefault="00492810" w:rsidP="00443329">
      <w:pPr>
        <w:jc w:val="both"/>
        <w:rPr>
          <w:rFonts w:ascii="Century Gothic" w:hAnsi="Century Gothic"/>
          <w:color w:val="595959" w:themeColor="text1" w:themeTint="A6"/>
          <w:sz w:val="16"/>
          <w:szCs w:val="16"/>
        </w:rPr>
      </w:pPr>
      <w:r w:rsidRPr="00443329">
        <w:rPr>
          <w:rFonts w:ascii="Century Gothic" w:hAnsi="Century Gothic"/>
          <w:b/>
          <w:color w:val="595959" w:themeColor="text1" w:themeTint="A6"/>
          <w:sz w:val="16"/>
          <w:szCs w:val="16"/>
        </w:rPr>
        <w:t>Nota:</w:t>
      </w:r>
      <w:r w:rsidRPr="00443329">
        <w:rPr>
          <w:rFonts w:ascii="Century Gothic" w:hAnsi="Century Gothic"/>
          <w:color w:val="595959" w:themeColor="text1" w:themeTint="A6"/>
          <w:sz w:val="16"/>
          <w:szCs w:val="16"/>
        </w:rPr>
        <w:t xml:space="preserve"> clasificación emitida por la Comunidad Andina de Naciones (CAN). El 1er criterio para determinar el tamaño de una empresa son las ventas y en 2do lugar el personal ocupado.</w:t>
      </w:r>
    </w:p>
    <w:p w14:paraId="01DBF30A" w14:textId="77777777" w:rsidR="00492810" w:rsidRPr="00B013F9" w:rsidRDefault="00492810" w:rsidP="00443329">
      <w:pPr>
        <w:jc w:val="both"/>
        <w:rPr>
          <w:rFonts w:ascii="Century Gothic" w:hAnsi="Century Gothic"/>
          <w:color w:val="595959" w:themeColor="text1" w:themeTint="A6"/>
          <w:sz w:val="16"/>
          <w:szCs w:val="16"/>
          <w:lang w:eastAsia="es-EC"/>
        </w:rPr>
      </w:pPr>
      <w:r w:rsidRPr="00B013F9">
        <w:rPr>
          <w:rFonts w:ascii="Century Gothic" w:hAnsi="Century Gothic"/>
          <w:color w:val="595959" w:themeColor="text1" w:themeTint="A6"/>
          <w:sz w:val="16"/>
          <w:szCs w:val="16"/>
          <w:lang w:eastAsia="es-EC"/>
        </w:rPr>
        <w:t>Para determinar el tamaño de una empresa se prioriza la utilización de las ventas que dispone la empresa, en caso de no disponer será por personal ocupado afiliado. Únicamente para las Instituciones Públicas se considerará primero el número de personal ocupado y segundo el volumen de ventas.</w:t>
      </w:r>
    </w:p>
    <w:p w14:paraId="38E2CB03" w14:textId="77777777" w:rsidR="00B013F9" w:rsidRDefault="00B013F9" w:rsidP="00B013F9">
      <w:pPr>
        <w:jc w:val="both"/>
        <w:rPr>
          <w:rFonts w:ascii="Century Gothic" w:hAnsi="Century Gothic"/>
          <w:b/>
          <w:color w:val="595959" w:themeColor="text1" w:themeTint="A6"/>
          <w:lang w:eastAsia="es-EC"/>
        </w:rPr>
      </w:pPr>
    </w:p>
    <w:p w14:paraId="59C41E68" w14:textId="01F6D508" w:rsidR="00B3624A" w:rsidRDefault="00B3624A" w:rsidP="00B3624A">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Tamaño de empresa</w:t>
      </w:r>
      <w:r>
        <w:rPr>
          <w:rFonts w:ascii="Century Gothic" w:hAnsi="Century Gothic"/>
          <w:b/>
          <w:color w:val="595959" w:themeColor="text1" w:themeTint="A6"/>
          <w:lang w:eastAsia="es-EC"/>
        </w:rPr>
        <w:t xml:space="preserve"> COP</w:t>
      </w:r>
      <w:r w:rsidRPr="00B10D09">
        <w:rPr>
          <w:rFonts w:ascii="Century Gothic" w:hAnsi="Century Gothic"/>
          <w:b/>
          <w:color w:val="595959" w:themeColor="text1" w:themeTint="A6"/>
          <w:lang w:eastAsia="es-EC"/>
        </w:rPr>
        <w:t>:</w:t>
      </w:r>
      <w:r w:rsidRPr="00B10D09">
        <w:rPr>
          <w:rFonts w:ascii="Century Gothic" w:hAnsi="Century Gothic"/>
          <w:color w:val="595959" w:themeColor="text1" w:themeTint="A6"/>
          <w:lang w:eastAsia="es-EC"/>
        </w:rPr>
        <w:t xml:space="preserve"> corresponde a la estratificación que se dará a cada empresa, de acuerdo con el volumen de ventas y/o el número de personas ocupadas, para lo cual debemos considerar los parámetros:</w:t>
      </w:r>
      <w:r>
        <w:rPr>
          <w:rFonts w:ascii="Century Gothic" w:hAnsi="Century Gothic"/>
          <w:color w:val="595959" w:themeColor="text1" w:themeTint="A6"/>
          <w:lang w:eastAsia="es-EC"/>
        </w:rPr>
        <w:t xml:space="preserve"> definidos en el artículo 106 del Reglamento de Inversiones del Código Orgánico de la Producción, Comercio e Inversiones. </w:t>
      </w:r>
      <w:r w:rsidRPr="00B10D09">
        <w:rPr>
          <w:rFonts w:ascii="Century Gothic" w:hAnsi="Century Gothic"/>
          <w:color w:val="595959" w:themeColor="text1" w:themeTint="A6"/>
          <w:lang w:eastAsia="es-EC"/>
        </w:rPr>
        <w:t>Los estratos son los siguientes:</w:t>
      </w:r>
    </w:p>
    <w:p w14:paraId="7D202310" w14:textId="1F09E5DD" w:rsidR="00B3624A" w:rsidRDefault="00B3624A" w:rsidP="00B3624A">
      <w:pPr>
        <w:jc w:val="both"/>
        <w:rPr>
          <w:rFonts w:ascii="Century Gothic" w:hAnsi="Century Gothic"/>
          <w:color w:val="595959" w:themeColor="text1" w:themeTint="A6"/>
          <w:lang w:eastAsia="es-EC"/>
        </w:rPr>
      </w:pP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2"/>
        <w:gridCol w:w="3714"/>
        <w:gridCol w:w="3180"/>
      </w:tblGrid>
      <w:tr w:rsidR="00B3624A" w:rsidRPr="00B10D09" w14:paraId="5B94A1E2" w14:textId="77777777" w:rsidTr="00932569">
        <w:trPr>
          <w:trHeight w:val="491"/>
          <w:jc w:val="center"/>
        </w:trPr>
        <w:tc>
          <w:tcPr>
            <w:tcW w:w="1632" w:type="dxa"/>
            <w:shd w:val="clear" w:color="auto" w:fill="1F3864" w:themeFill="accent1" w:themeFillShade="80"/>
            <w:vAlign w:val="center"/>
            <w:hideMark/>
          </w:tcPr>
          <w:p w14:paraId="4D7478DB" w14:textId="77777777" w:rsidR="00B3624A" w:rsidRPr="001056B6" w:rsidRDefault="00B3624A" w:rsidP="00932569">
            <w:pPr>
              <w:jc w:val="center"/>
              <w:rPr>
                <w:rFonts w:ascii="Century Gothic" w:hAnsi="Century Gothic"/>
                <w:b/>
                <w:color w:val="FFFFFF" w:themeColor="background1"/>
              </w:rPr>
            </w:pPr>
            <w:r w:rsidRPr="001056B6">
              <w:rPr>
                <w:rFonts w:ascii="Century Gothic" w:hAnsi="Century Gothic"/>
                <w:b/>
                <w:color w:val="FFFFFF" w:themeColor="background1"/>
              </w:rPr>
              <w:t>Tamaño de empresas</w:t>
            </w:r>
          </w:p>
        </w:tc>
        <w:tc>
          <w:tcPr>
            <w:tcW w:w="3714" w:type="dxa"/>
            <w:shd w:val="clear" w:color="auto" w:fill="1F3864" w:themeFill="accent1" w:themeFillShade="80"/>
            <w:vAlign w:val="center"/>
            <w:hideMark/>
          </w:tcPr>
          <w:p w14:paraId="084D44D3" w14:textId="77777777" w:rsidR="00B3624A" w:rsidRPr="001056B6" w:rsidRDefault="00B3624A" w:rsidP="00932569">
            <w:pPr>
              <w:jc w:val="center"/>
              <w:rPr>
                <w:rFonts w:ascii="Century Gothic" w:hAnsi="Century Gothic"/>
                <w:b/>
                <w:color w:val="FFFFFF" w:themeColor="background1"/>
                <w:szCs w:val="22"/>
              </w:rPr>
            </w:pPr>
            <w:r w:rsidRPr="001056B6">
              <w:rPr>
                <w:rFonts w:ascii="Century Gothic" w:hAnsi="Century Gothic"/>
                <w:b/>
                <w:color w:val="FFFFFF" w:themeColor="background1"/>
              </w:rPr>
              <w:t>Ventas anuales (dólares)</w:t>
            </w:r>
          </w:p>
        </w:tc>
        <w:tc>
          <w:tcPr>
            <w:tcW w:w="3180" w:type="dxa"/>
            <w:shd w:val="clear" w:color="auto" w:fill="1F3864" w:themeFill="accent1" w:themeFillShade="80"/>
            <w:vAlign w:val="center"/>
          </w:tcPr>
          <w:p w14:paraId="17560F46" w14:textId="77777777" w:rsidR="00B3624A" w:rsidRPr="001056B6" w:rsidRDefault="00B3624A" w:rsidP="00932569">
            <w:pPr>
              <w:jc w:val="center"/>
              <w:rPr>
                <w:rFonts w:ascii="Century Gothic" w:hAnsi="Century Gothic"/>
                <w:b/>
                <w:color w:val="FFFFFF" w:themeColor="background1"/>
                <w:szCs w:val="22"/>
              </w:rPr>
            </w:pPr>
            <w:r w:rsidRPr="001056B6">
              <w:rPr>
                <w:rFonts w:ascii="Century Gothic" w:hAnsi="Century Gothic"/>
                <w:b/>
                <w:color w:val="FFFFFF" w:themeColor="background1"/>
              </w:rPr>
              <w:t>Personal ocupado</w:t>
            </w:r>
          </w:p>
        </w:tc>
      </w:tr>
      <w:tr w:rsidR="00B3624A" w:rsidRPr="00B10D09" w14:paraId="30AF7FE2" w14:textId="77777777" w:rsidTr="00932569">
        <w:trPr>
          <w:trHeight w:val="582"/>
          <w:jc w:val="center"/>
        </w:trPr>
        <w:tc>
          <w:tcPr>
            <w:tcW w:w="1632" w:type="dxa"/>
            <w:shd w:val="clear" w:color="000000" w:fill="FFFFFF"/>
          </w:tcPr>
          <w:p w14:paraId="70133071" w14:textId="77777777" w:rsidR="00B3624A" w:rsidRPr="00443329" w:rsidRDefault="00B3624A" w:rsidP="00932569">
            <w:pPr>
              <w:jc w:val="center"/>
              <w:rPr>
                <w:rFonts w:ascii="Century Gothic" w:hAnsi="Century Gothic"/>
                <w:color w:val="595959" w:themeColor="text1" w:themeTint="A6"/>
              </w:rPr>
            </w:pPr>
            <w:r w:rsidRPr="00443329">
              <w:rPr>
                <w:rFonts w:ascii="Century Gothic" w:hAnsi="Century Gothic"/>
                <w:color w:val="595959" w:themeColor="text1" w:themeTint="A6"/>
              </w:rPr>
              <w:t>Micro empresa</w:t>
            </w:r>
          </w:p>
        </w:tc>
        <w:tc>
          <w:tcPr>
            <w:tcW w:w="3714" w:type="dxa"/>
            <w:shd w:val="clear" w:color="000000" w:fill="FFFFFF"/>
          </w:tcPr>
          <w:p w14:paraId="2B365AFC" w14:textId="448DA0FA" w:rsidR="00B3624A" w:rsidRPr="00443329" w:rsidRDefault="00B3624A" w:rsidP="00932569">
            <w:pPr>
              <w:jc w:val="center"/>
              <w:rPr>
                <w:rFonts w:ascii="Century Gothic" w:hAnsi="Century Gothic"/>
                <w:color w:val="595959" w:themeColor="text1" w:themeTint="A6"/>
                <w:szCs w:val="22"/>
              </w:rPr>
            </w:pPr>
            <w:r>
              <w:rPr>
                <w:rFonts w:ascii="Century Gothic" w:hAnsi="Century Gothic"/>
                <w:color w:val="595959" w:themeColor="text1" w:themeTint="A6"/>
              </w:rPr>
              <w:t>Menor a 3</w:t>
            </w:r>
            <w:r w:rsidRPr="00443329">
              <w:rPr>
                <w:rFonts w:ascii="Century Gothic" w:hAnsi="Century Gothic"/>
                <w:color w:val="595959" w:themeColor="text1" w:themeTint="A6"/>
              </w:rPr>
              <w:t>00.000</w:t>
            </w:r>
          </w:p>
        </w:tc>
        <w:tc>
          <w:tcPr>
            <w:tcW w:w="3180" w:type="dxa"/>
            <w:shd w:val="clear" w:color="000000" w:fill="FFFFFF"/>
          </w:tcPr>
          <w:p w14:paraId="5F4D39CE" w14:textId="77777777" w:rsidR="00B3624A" w:rsidRPr="00443329" w:rsidRDefault="00B3624A"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1 a 9</w:t>
            </w:r>
          </w:p>
        </w:tc>
      </w:tr>
      <w:tr w:rsidR="00B3624A" w:rsidRPr="00B10D09" w14:paraId="0379E2AE" w14:textId="77777777" w:rsidTr="00932569">
        <w:trPr>
          <w:trHeight w:val="582"/>
          <w:jc w:val="center"/>
        </w:trPr>
        <w:tc>
          <w:tcPr>
            <w:tcW w:w="1632" w:type="dxa"/>
            <w:shd w:val="clear" w:color="000000" w:fill="FFFFFF"/>
          </w:tcPr>
          <w:p w14:paraId="57C9D818" w14:textId="77777777" w:rsidR="00B3624A" w:rsidRPr="00443329" w:rsidRDefault="00B3624A" w:rsidP="00932569">
            <w:pPr>
              <w:jc w:val="center"/>
              <w:rPr>
                <w:rFonts w:ascii="Century Gothic" w:hAnsi="Century Gothic"/>
                <w:color w:val="595959" w:themeColor="text1" w:themeTint="A6"/>
              </w:rPr>
            </w:pPr>
            <w:r w:rsidRPr="00443329">
              <w:rPr>
                <w:rFonts w:ascii="Century Gothic" w:hAnsi="Century Gothic"/>
                <w:color w:val="595959" w:themeColor="text1" w:themeTint="A6"/>
              </w:rPr>
              <w:t>Pequeña empresa</w:t>
            </w:r>
          </w:p>
        </w:tc>
        <w:tc>
          <w:tcPr>
            <w:tcW w:w="3714" w:type="dxa"/>
            <w:shd w:val="clear" w:color="000000" w:fill="FFFFFF"/>
          </w:tcPr>
          <w:p w14:paraId="7573E622" w14:textId="6DB13898" w:rsidR="00B3624A" w:rsidRPr="00443329" w:rsidRDefault="00B3624A" w:rsidP="00932569">
            <w:pPr>
              <w:jc w:val="center"/>
              <w:rPr>
                <w:rFonts w:ascii="Century Gothic" w:hAnsi="Century Gothic"/>
                <w:color w:val="595959" w:themeColor="text1" w:themeTint="A6"/>
                <w:szCs w:val="22"/>
              </w:rPr>
            </w:pPr>
            <w:r>
              <w:rPr>
                <w:rFonts w:ascii="Century Gothic" w:hAnsi="Century Gothic"/>
                <w:color w:val="595959" w:themeColor="text1" w:themeTint="A6"/>
              </w:rPr>
              <w:t>De 3</w:t>
            </w:r>
            <w:r w:rsidRPr="00443329">
              <w:rPr>
                <w:rFonts w:ascii="Century Gothic" w:hAnsi="Century Gothic"/>
                <w:color w:val="595959" w:themeColor="text1" w:themeTint="A6"/>
              </w:rPr>
              <w:t>00.001 a 1´000.000</w:t>
            </w:r>
          </w:p>
        </w:tc>
        <w:tc>
          <w:tcPr>
            <w:tcW w:w="3180" w:type="dxa"/>
            <w:shd w:val="clear" w:color="000000" w:fill="FFFFFF"/>
          </w:tcPr>
          <w:p w14:paraId="7A50A940" w14:textId="77777777" w:rsidR="00B3624A" w:rsidRPr="00443329" w:rsidRDefault="00B3624A"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10 a 49</w:t>
            </w:r>
          </w:p>
        </w:tc>
      </w:tr>
      <w:tr w:rsidR="00B3624A" w:rsidRPr="00B10D09" w14:paraId="4F2EBE69" w14:textId="77777777" w:rsidTr="00932569">
        <w:trPr>
          <w:trHeight w:val="582"/>
          <w:jc w:val="center"/>
        </w:trPr>
        <w:tc>
          <w:tcPr>
            <w:tcW w:w="1632" w:type="dxa"/>
            <w:shd w:val="clear" w:color="000000" w:fill="FFFFFF"/>
          </w:tcPr>
          <w:p w14:paraId="75F9EC5F" w14:textId="2113AF50" w:rsidR="00B3624A" w:rsidRPr="00443329" w:rsidRDefault="00B3624A" w:rsidP="00932569">
            <w:pPr>
              <w:jc w:val="center"/>
              <w:rPr>
                <w:rFonts w:ascii="Century Gothic" w:hAnsi="Century Gothic"/>
                <w:color w:val="595959" w:themeColor="text1" w:themeTint="A6"/>
              </w:rPr>
            </w:pPr>
            <w:r>
              <w:rPr>
                <w:rFonts w:ascii="Century Gothic" w:hAnsi="Century Gothic"/>
                <w:color w:val="595959" w:themeColor="text1" w:themeTint="A6"/>
              </w:rPr>
              <w:t xml:space="preserve">Mediana empresa </w:t>
            </w:r>
          </w:p>
        </w:tc>
        <w:tc>
          <w:tcPr>
            <w:tcW w:w="3714" w:type="dxa"/>
            <w:shd w:val="clear" w:color="000000" w:fill="FFFFFF"/>
          </w:tcPr>
          <w:p w14:paraId="0FEDFD70" w14:textId="0FCE9592" w:rsidR="00B3624A" w:rsidRPr="00443329" w:rsidRDefault="00B3624A" w:rsidP="00932569">
            <w:pPr>
              <w:jc w:val="center"/>
              <w:rPr>
                <w:rFonts w:ascii="Century Gothic" w:hAnsi="Century Gothic"/>
                <w:color w:val="595959" w:themeColor="text1" w:themeTint="A6"/>
                <w:szCs w:val="22"/>
              </w:rPr>
            </w:pPr>
            <w:r>
              <w:rPr>
                <w:rFonts w:ascii="Century Gothic" w:hAnsi="Century Gothic"/>
                <w:color w:val="595959" w:themeColor="text1" w:themeTint="A6"/>
              </w:rPr>
              <w:t>De 1´000.001 a 5</w:t>
            </w:r>
            <w:r w:rsidRPr="00443329">
              <w:rPr>
                <w:rFonts w:ascii="Century Gothic" w:hAnsi="Century Gothic"/>
                <w:color w:val="595959" w:themeColor="text1" w:themeTint="A6"/>
              </w:rPr>
              <w:t>´000.000</w:t>
            </w:r>
          </w:p>
        </w:tc>
        <w:tc>
          <w:tcPr>
            <w:tcW w:w="3180" w:type="dxa"/>
            <w:shd w:val="clear" w:color="000000" w:fill="FFFFFF"/>
          </w:tcPr>
          <w:p w14:paraId="38206E28" w14:textId="034CAD94" w:rsidR="00B3624A" w:rsidRPr="00443329" w:rsidRDefault="00B3624A"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 xml:space="preserve">50 a </w:t>
            </w:r>
            <w:r>
              <w:rPr>
                <w:rFonts w:ascii="Century Gothic" w:hAnsi="Century Gothic"/>
                <w:color w:val="595959" w:themeColor="text1" w:themeTint="A6"/>
              </w:rPr>
              <w:t>1</w:t>
            </w:r>
            <w:r w:rsidRPr="00443329">
              <w:rPr>
                <w:rFonts w:ascii="Century Gothic" w:hAnsi="Century Gothic"/>
                <w:color w:val="595959" w:themeColor="text1" w:themeTint="A6"/>
              </w:rPr>
              <w:t>99</w:t>
            </w:r>
          </w:p>
        </w:tc>
      </w:tr>
      <w:tr w:rsidR="00B3624A" w:rsidRPr="00B10D09" w14:paraId="219CED20" w14:textId="77777777" w:rsidTr="00932569">
        <w:trPr>
          <w:trHeight w:val="582"/>
          <w:jc w:val="center"/>
        </w:trPr>
        <w:tc>
          <w:tcPr>
            <w:tcW w:w="1632" w:type="dxa"/>
            <w:shd w:val="clear" w:color="000000" w:fill="FFFFFF"/>
          </w:tcPr>
          <w:p w14:paraId="31BB1BE2" w14:textId="77777777" w:rsidR="00B3624A" w:rsidRPr="00443329" w:rsidRDefault="00B3624A" w:rsidP="00932569">
            <w:pPr>
              <w:jc w:val="center"/>
              <w:rPr>
                <w:rFonts w:ascii="Century Gothic" w:hAnsi="Century Gothic"/>
                <w:color w:val="595959" w:themeColor="text1" w:themeTint="A6"/>
              </w:rPr>
            </w:pPr>
            <w:r w:rsidRPr="00443329">
              <w:rPr>
                <w:rFonts w:ascii="Century Gothic" w:hAnsi="Century Gothic"/>
                <w:color w:val="595959" w:themeColor="text1" w:themeTint="A6"/>
              </w:rPr>
              <w:t>Grande empresa</w:t>
            </w:r>
          </w:p>
        </w:tc>
        <w:tc>
          <w:tcPr>
            <w:tcW w:w="3714" w:type="dxa"/>
            <w:shd w:val="clear" w:color="000000" w:fill="FFFFFF"/>
          </w:tcPr>
          <w:p w14:paraId="72297EB2" w14:textId="77777777" w:rsidR="00B3624A" w:rsidRPr="00443329" w:rsidRDefault="00B3624A"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De 5´000.001 en adelante</w:t>
            </w:r>
          </w:p>
        </w:tc>
        <w:tc>
          <w:tcPr>
            <w:tcW w:w="3180" w:type="dxa"/>
            <w:shd w:val="clear" w:color="000000" w:fill="FFFFFF"/>
          </w:tcPr>
          <w:p w14:paraId="3CEE6B73" w14:textId="77777777" w:rsidR="00B3624A" w:rsidRPr="00443329" w:rsidRDefault="00B3624A" w:rsidP="00932569">
            <w:pPr>
              <w:jc w:val="center"/>
              <w:rPr>
                <w:rFonts w:ascii="Century Gothic" w:hAnsi="Century Gothic"/>
                <w:color w:val="595959" w:themeColor="text1" w:themeTint="A6"/>
                <w:szCs w:val="22"/>
              </w:rPr>
            </w:pPr>
            <w:r w:rsidRPr="00443329">
              <w:rPr>
                <w:rFonts w:ascii="Century Gothic" w:hAnsi="Century Gothic"/>
                <w:color w:val="595959" w:themeColor="text1" w:themeTint="A6"/>
              </w:rPr>
              <w:t>200 en adelante</w:t>
            </w:r>
          </w:p>
        </w:tc>
      </w:tr>
    </w:tbl>
    <w:p w14:paraId="6D47F8C9" w14:textId="77777777" w:rsidR="00B3624A" w:rsidRDefault="00B3624A" w:rsidP="00443329">
      <w:pPr>
        <w:jc w:val="both"/>
        <w:rPr>
          <w:rFonts w:ascii="Century Gothic" w:hAnsi="Century Gothic"/>
          <w:b/>
          <w:color w:val="595959" w:themeColor="text1" w:themeTint="A6"/>
          <w:lang w:eastAsia="es-EC"/>
        </w:rPr>
      </w:pPr>
    </w:p>
    <w:p w14:paraId="6E078904" w14:textId="3EA8D033"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Teléfono/Fax:</w:t>
      </w:r>
      <w:r w:rsidRPr="00B10D09">
        <w:rPr>
          <w:rFonts w:ascii="Century Gothic" w:hAnsi="Century Gothic"/>
          <w:color w:val="595959" w:themeColor="text1" w:themeTint="A6"/>
          <w:lang w:eastAsia="es-EC"/>
        </w:rPr>
        <w:t xml:space="preserve"> Secuencia de 9 dígitos que permite la comunicación vía telefónica con la unidad económica. Los dos primeros dígitos corresponden a la provincia y los restantes al número telefónico.</w:t>
      </w:r>
    </w:p>
    <w:p w14:paraId="305CAB0E" w14:textId="77777777" w:rsidR="00B013F9" w:rsidRDefault="00B013F9" w:rsidP="00B013F9">
      <w:pPr>
        <w:jc w:val="both"/>
        <w:rPr>
          <w:rFonts w:ascii="Century Gothic" w:hAnsi="Century Gothic"/>
          <w:b/>
          <w:color w:val="595959" w:themeColor="text1" w:themeTint="A6"/>
          <w:lang w:eastAsia="es-EC"/>
        </w:rPr>
      </w:pPr>
    </w:p>
    <w:p w14:paraId="32205C1D" w14:textId="5212A54F"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 xml:space="preserve">Ubicación geográfica: </w:t>
      </w:r>
      <w:r w:rsidRPr="00B10D09">
        <w:rPr>
          <w:rFonts w:ascii="Century Gothic" w:hAnsi="Century Gothic"/>
          <w:color w:val="595959" w:themeColor="text1" w:themeTint="A6"/>
          <w:lang w:eastAsia="es-EC"/>
        </w:rPr>
        <w:t>Identifica la información correspondiente a la ubicación física de la unidad económica dentro de los correspondientes niveles sub - nacionales de organización territorial. Según la Constitución y el COOTAD, el Estado ecuatoriano se organiza territorialmente en provincias, cantones y parroquias rurales. En el DIEE se presenta información solamente de las parroquias rurales debido a que para las parroquias urbanas no se cuenta con esta información dada la división política que maneja el SRI.</w:t>
      </w:r>
    </w:p>
    <w:p w14:paraId="5186AF74" w14:textId="77777777" w:rsidR="00B013F9" w:rsidRDefault="00B013F9" w:rsidP="00B013F9">
      <w:pPr>
        <w:jc w:val="both"/>
        <w:rPr>
          <w:rFonts w:ascii="Century Gothic" w:hAnsi="Century Gothic"/>
          <w:b/>
          <w:color w:val="595959" w:themeColor="text1" w:themeTint="A6"/>
          <w:lang w:eastAsia="es-EC"/>
        </w:rPr>
      </w:pPr>
    </w:p>
    <w:p w14:paraId="1E7A801B" w14:textId="48CBE7C1" w:rsidR="00492810" w:rsidRPr="00B10D09" w:rsidRDefault="00492810" w:rsidP="00443329">
      <w:pPr>
        <w:jc w:val="both"/>
        <w:rPr>
          <w:rFonts w:ascii="Century Gothic" w:hAnsi="Century Gothic"/>
          <w:b/>
          <w:color w:val="595959" w:themeColor="text1" w:themeTint="A6"/>
          <w:lang w:eastAsia="es-EC"/>
        </w:rPr>
      </w:pPr>
      <w:r w:rsidRPr="00B10D09">
        <w:rPr>
          <w:rFonts w:ascii="Century Gothic" w:hAnsi="Century Gothic"/>
          <w:b/>
          <w:color w:val="595959" w:themeColor="text1" w:themeTint="A6"/>
          <w:lang w:eastAsia="es-EC"/>
        </w:rPr>
        <w:t xml:space="preserve">Unidad Legal: </w:t>
      </w:r>
      <w:r w:rsidRPr="00B10D09">
        <w:rPr>
          <w:rFonts w:ascii="Century Gothic" w:hAnsi="Century Gothic"/>
          <w:color w:val="595959" w:themeColor="text1" w:themeTint="A6"/>
          <w:lang w:eastAsia="es-EC"/>
        </w:rPr>
        <w:t>es aquella a la cual la ley reconoce el derecho de tener en nombre propio o patrimonio, de establecer contrato con terceros y de defender sus intereses frente a tribunales. Las unidades legales que ejercen total o parcialmente una actividad productiva pueden ser: i) personas jurídicas, cuya existencia está reconocida por la ley independientemente de las personas o instituciones que las posean o que sean miembros de ellas; ii) personas naturales que en calidad de independientes ejercen una actividad económica.</w:t>
      </w:r>
    </w:p>
    <w:p w14:paraId="45B46D03" w14:textId="77777777" w:rsidR="00B013F9" w:rsidRDefault="00B013F9" w:rsidP="00B013F9">
      <w:pPr>
        <w:jc w:val="both"/>
        <w:rPr>
          <w:rFonts w:ascii="Century Gothic" w:hAnsi="Century Gothic"/>
          <w:b/>
          <w:color w:val="595959" w:themeColor="text1" w:themeTint="A6"/>
          <w:lang w:eastAsia="es-EC"/>
        </w:rPr>
      </w:pPr>
    </w:p>
    <w:p w14:paraId="5C914ECB" w14:textId="0A464AE8"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Universo estrato:</w:t>
      </w:r>
      <w:r w:rsidRPr="00B10D09">
        <w:rPr>
          <w:rFonts w:ascii="Century Gothic" w:hAnsi="Century Gothic"/>
          <w:color w:val="595959" w:themeColor="text1" w:themeTint="A6"/>
          <w:lang w:eastAsia="es-EC"/>
        </w:rPr>
        <w:t xml:space="preserve"> Variable creada para identificar a las unidades económicas en función de las declaraciones en ventas y/o afiliados, declaraciones RISE que realizan en el año.</w:t>
      </w:r>
    </w:p>
    <w:p w14:paraId="5A70D982" w14:textId="77777777" w:rsidR="00B013F9" w:rsidRDefault="00B013F9" w:rsidP="00B013F9">
      <w:pPr>
        <w:jc w:val="both"/>
        <w:rPr>
          <w:rFonts w:ascii="Century Gothic" w:hAnsi="Century Gothic"/>
          <w:b/>
          <w:color w:val="595959" w:themeColor="text1" w:themeTint="A6"/>
          <w:lang w:eastAsia="es-EC"/>
        </w:rPr>
      </w:pPr>
    </w:p>
    <w:p w14:paraId="4D88AA6C" w14:textId="06E0001C" w:rsidR="00492810" w:rsidRPr="00B10D09"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Ventas totales:</w:t>
      </w:r>
      <w:r w:rsidRPr="00B10D09">
        <w:rPr>
          <w:rFonts w:ascii="Century Gothic" w:hAnsi="Century Gothic"/>
          <w:color w:val="595959" w:themeColor="text1" w:themeTint="A6"/>
          <w:lang w:eastAsia="es-EC"/>
        </w:rPr>
        <w:t xml:space="preserve"> Son todos los ingresos de las empresas, proveniente de las transacciones comerciales de bienes o servicios durante un año.</w:t>
      </w:r>
    </w:p>
    <w:p w14:paraId="137E7AAF" w14:textId="77777777" w:rsidR="00B013F9" w:rsidRDefault="00B013F9" w:rsidP="00B013F9">
      <w:pPr>
        <w:jc w:val="both"/>
        <w:rPr>
          <w:rFonts w:ascii="Century Gothic" w:hAnsi="Century Gothic"/>
          <w:b/>
          <w:color w:val="595959" w:themeColor="text1" w:themeTint="A6"/>
          <w:lang w:eastAsia="es-EC"/>
        </w:rPr>
      </w:pPr>
    </w:p>
    <w:p w14:paraId="0EFEC190" w14:textId="426F5788" w:rsidR="00492810" w:rsidRDefault="00492810" w:rsidP="00443329">
      <w:pPr>
        <w:jc w:val="both"/>
        <w:rPr>
          <w:rFonts w:ascii="Century Gothic" w:hAnsi="Century Gothic"/>
          <w:color w:val="595959" w:themeColor="text1" w:themeTint="A6"/>
          <w:lang w:eastAsia="es-EC"/>
        </w:rPr>
      </w:pPr>
      <w:r w:rsidRPr="00B10D09">
        <w:rPr>
          <w:rFonts w:ascii="Century Gothic" w:hAnsi="Century Gothic"/>
          <w:b/>
          <w:color w:val="595959" w:themeColor="text1" w:themeTint="A6"/>
          <w:lang w:eastAsia="es-EC"/>
        </w:rPr>
        <w:t>Zonas de planificación:</w:t>
      </w:r>
      <w:r w:rsidRPr="00B10D09">
        <w:rPr>
          <w:rFonts w:ascii="Century Gothic" w:hAnsi="Century Gothic"/>
          <w:color w:val="595959" w:themeColor="text1" w:themeTint="A6"/>
          <w:lang w:eastAsia="es-EC"/>
        </w:rPr>
        <w:t xml:space="preserve"> Es el nivel administrativo de planificación más agregado desde el cual se coordina estratégicamente las entidades del sector público. Cada zona está conformada por provincias de acuerdo a una proximidad geográfica, cultural y económica. Las zonas administrativas de planificación son:</w:t>
      </w:r>
    </w:p>
    <w:p w14:paraId="447DCDB4" w14:textId="77777777" w:rsidR="001056B6" w:rsidRPr="00B10D09" w:rsidRDefault="001056B6" w:rsidP="00443329">
      <w:pPr>
        <w:jc w:val="both"/>
        <w:rPr>
          <w:rFonts w:ascii="Century Gothic" w:hAnsi="Century Gothic"/>
          <w:color w:val="595959" w:themeColor="text1" w:themeTint="A6"/>
          <w:lang w:eastAsia="es-EC"/>
        </w:rPr>
      </w:pPr>
    </w:p>
    <w:p w14:paraId="5E5459FF"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1 - Esmeraldas, Carchi, Imbabura, Sucumbíos</w:t>
      </w:r>
    </w:p>
    <w:p w14:paraId="650D7DAD"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2 - Pichincha, Napo, Orellana</w:t>
      </w:r>
    </w:p>
    <w:p w14:paraId="519B4138"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3 - Cotopaxi, Tungurahua, Chimborazo, Pastaza</w:t>
      </w:r>
    </w:p>
    <w:p w14:paraId="4C21E659"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4 - Manabí, Santo Domingo de los Tsáchilas</w:t>
      </w:r>
    </w:p>
    <w:p w14:paraId="4B8EB87A"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5 - Santa Elena, Guayas, Los Ríos, Bolívar, Galápagos</w:t>
      </w:r>
    </w:p>
    <w:p w14:paraId="3D47F97C"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6 - Azuay, Cañar, Morona Santiago</w:t>
      </w:r>
    </w:p>
    <w:p w14:paraId="0D3AE9BC"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7 - El Oro, Loja, Zamora Chinchipe</w:t>
      </w:r>
    </w:p>
    <w:p w14:paraId="2825830D" w14:textId="77777777" w:rsidR="00492810" w:rsidRPr="00443329" w:rsidRDefault="00492810" w:rsidP="003C20C6">
      <w:pPr>
        <w:pStyle w:val="Prrafodelista"/>
        <w:numPr>
          <w:ilvl w:val="0"/>
          <w:numId w:val="14"/>
        </w:numPr>
        <w:rPr>
          <w:rFonts w:ascii="Century Gothic" w:hAnsi="Century Gothic"/>
          <w:color w:val="595959" w:themeColor="text1" w:themeTint="A6"/>
          <w:sz w:val="24"/>
        </w:rPr>
      </w:pPr>
      <w:r w:rsidRPr="00443329">
        <w:rPr>
          <w:rFonts w:ascii="Century Gothic" w:hAnsi="Century Gothic"/>
          <w:color w:val="595959" w:themeColor="text1" w:themeTint="A6"/>
          <w:sz w:val="24"/>
        </w:rPr>
        <w:t>Zona 8 - Guayaquil, Durán, Samborondón</w:t>
      </w:r>
    </w:p>
    <w:p w14:paraId="42215494" w14:textId="77777777" w:rsidR="00492810" w:rsidRPr="00443329" w:rsidRDefault="00492810" w:rsidP="003C20C6">
      <w:pPr>
        <w:pStyle w:val="Prrafodelista"/>
        <w:numPr>
          <w:ilvl w:val="0"/>
          <w:numId w:val="14"/>
        </w:numPr>
        <w:rPr>
          <w:rFonts w:ascii="Century Gothic" w:hAnsi="Century Gothic"/>
          <w:color w:val="3B3838" w:themeColor="background2" w:themeShade="40"/>
          <w:sz w:val="24"/>
        </w:rPr>
      </w:pPr>
      <w:r w:rsidRPr="00443329">
        <w:rPr>
          <w:rFonts w:ascii="Century Gothic" w:hAnsi="Century Gothic"/>
          <w:color w:val="595959" w:themeColor="text1" w:themeTint="A6"/>
          <w:sz w:val="24"/>
        </w:rPr>
        <w:t>Zona 9 - Quito Distrito Metropolitano</w:t>
      </w:r>
    </w:p>
    <w:p w14:paraId="13B676DA" w14:textId="77777777" w:rsidR="00492810" w:rsidRPr="00CF0C1E" w:rsidRDefault="00492810" w:rsidP="00CF0C1E">
      <w:pPr>
        <w:rPr>
          <w:rFonts w:ascii="Century Gothic" w:hAnsi="Century Gothic"/>
          <w:b/>
          <w:color w:val="595959" w:themeColor="text1" w:themeTint="A6"/>
        </w:rPr>
      </w:pPr>
    </w:p>
    <w:p w14:paraId="22576F94" w14:textId="77777777" w:rsidR="00492810" w:rsidRPr="00443329" w:rsidRDefault="00492810" w:rsidP="00B04121">
      <w:pPr>
        <w:pStyle w:val="TITULOINEC"/>
        <w:outlineLvl w:val="0"/>
      </w:pPr>
      <w:bookmarkStart w:id="247" w:name="_Toc381774295"/>
      <w:bookmarkStart w:id="248" w:name="_Toc382901711"/>
      <w:bookmarkStart w:id="249" w:name="_Toc412998158"/>
      <w:bookmarkStart w:id="250" w:name="_Toc53757459"/>
      <w:r w:rsidRPr="00443329">
        <w:t>BIBLIOGRAFÍA</w:t>
      </w:r>
      <w:bookmarkEnd w:id="247"/>
      <w:bookmarkEnd w:id="248"/>
      <w:bookmarkEnd w:id="249"/>
      <w:bookmarkEnd w:id="250"/>
    </w:p>
    <w:p w14:paraId="0F603B37" w14:textId="77777777" w:rsidR="00492810" w:rsidRPr="00443329" w:rsidRDefault="00492810" w:rsidP="00CF0C1E">
      <w:pPr>
        <w:rPr>
          <w:rFonts w:ascii="Century Gothic" w:hAnsi="Century Gothic"/>
          <w:color w:val="595959" w:themeColor="text1" w:themeTint="A6"/>
        </w:rPr>
      </w:pPr>
    </w:p>
    <w:p w14:paraId="79CC542A"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CAN. (2008). Decisión 698. Lima: CAN.</w:t>
      </w:r>
    </w:p>
    <w:p w14:paraId="2EC5CF63"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CAN. (2009). Resolución 1218 - Cobertura de los directorios de empresas. Lima: CAN.</w:t>
      </w:r>
    </w:p>
    <w:p w14:paraId="75B1D3D1"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CAN. (2009). Resolución 1273 – Manual de Recomendaciones sobre los Directorios de Empresas. Lima: CAN.</w:t>
      </w:r>
    </w:p>
    <w:p w14:paraId="4217E460"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CAN. (2010). Manual sobre Directorio de Empresas con Fines Estadísticos en la Comunidad Andina. Lima: SGCAN.</w:t>
      </w:r>
    </w:p>
    <w:p w14:paraId="29A0FCA3"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CEPAL. (2013). Compendio de Recomendaciones y Buenas Prácticas. México: CEPAL.</w:t>
      </w:r>
    </w:p>
    <w:sdt>
      <w:sdtPr>
        <w:rPr>
          <w:rFonts w:ascii="Century Gothic" w:hAnsi="Century Gothic"/>
          <w:color w:val="595959" w:themeColor="text1" w:themeTint="A6"/>
          <w:sz w:val="24"/>
          <w:lang w:val="en-US"/>
        </w:rPr>
        <w:id w:val="111145805"/>
        <w:bibliography/>
      </w:sdtPr>
      <w:sdtEndPr/>
      <w:sdtContent>
        <w:p w14:paraId="2008B0D0" w14:textId="77777777" w:rsidR="00492810" w:rsidRPr="00443329" w:rsidRDefault="00492810" w:rsidP="003C20C6">
          <w:pPr>
            <w:pStyle w:val="Bibliografa"/>
            <w:numPr>
              <w:ilvl w:val="0"/>
              <w:numId w:val="31"/>
            </w:numPr>
            <w:spacing w:after="0"/>
            <w:rPr>
              <w:rFonts w:ascii="Century Gothic" w:hAnsi="Century Gothic"/>
              <w:color w:val="595959" w:themeColor="text1" w:themeTint="A6"/>
              <w:sz w:val="24"/>
              <w:lang w:val="en-US"/>
            </w:rPr>
          </w:pPr>
          <w:r w:rsidRPr="00443329">
            <w:rPr>
              <w:rFonts w:ascii="Century Gothic" w:hAnsi="Century Gothic"/>
              <w:color w:val="595959" w:themeColor="text1" w:themeTint="A6"/>
              <w:sz w:val="24"/>
              <w:lang w:val="en-US"/>
            </w:rPr>
            <w:fldChar w:fldCharType="begin"/>
          </w:r>
          <w:r w:rsidRPr="00443329">
            <w:rPr>
              <w:rFonts w:ascii="Century Gothic" w:hAnsi="Century Gothic"/>
              <w:color w:val="595959" w:themeColor="text1" w:themeTint="A6"/>
              <w:sz w:val="24"/>
              <w:lang w:val="es-EC"/>
            </w:rPr>
            <w:instrText>BIBLIOGRAPHY</w:instrText>
          </w:r>
          <w:r w:rsidRPr="00443329">
            <w:rPr>
              <w:rFonts w:ascii="Century Gothic" w:hAnsi="Century Gothic"/>
              <w:color w:val="595959" w:themeColor="text1" w:themeTint="A6"/>
              <w:sz w:val="24"/>
              <w:lang w:val="en-US"/>
            </w:rPr>
            <w:fldChar w:fldCharType="separate"/>
          </w:r>
          <w:r w:rsidRPr="00443329">
            <w:rPr>
              <w:rFonts w:ascii="Century Gothic" w:hAnsi="Century Gothic"/>
              <w:color w:val="595959" w:themeColor="text1" w:themeTint="A6"/>
              <w:sz w:val="24"/>
              <w:lang w:val="es-EC"/>
            </w:rPr>
            <w:t xml:space="preserve">Echegoyen, G. (2003). Registros administrativos, calidad de los datos y credibilidad pública: presentación y debate de los temas sustantivos de la segunda reunión de la Conferencia Estadística de las Américas CEPAL. </w:t>
          </w:r>
          <w:r w:rsidRPr="00443329">
            <w:rPr>
              <w:rFonts w:ascii="Century Gothic" w:hAnsi="Century Gothic"/>
              <w:color w:val="595959" w:themeColor="text1" w:themeTint="A6"/>
              <w:sz w:val="24"/>
              <w:lang w:val="en-US"/>
            </w:rPr>
            <w:t>(pág. 10). Santiago de Chile: Serie estudios estadísticos y prospectivos.</w:t>
          </w:r>
          <w:r w:rsidRPr="00443329">
            <w:rPr>
              <w:rFonts w:ascii="Century Gothic" w:hAnsi="Century Gothic"/>
              <w:color w:val="595959" w:themeColor="text1" w:themeTint="A6"/>
              <w:sz w:val="24"/>
              <w:lang w:val="en-US"/>
            </w:rPr>
            <w:fldChar w:fldCharType="end"/>
          </w:r>
        </w:p>
        <w:p w14:paraId="0873ECDD" w14:textId="77777777" w:rsidR="00492810" w:rsidRPr="00443329" w:rsidRDefault="00492810" w:rsidP="003C20C6">
          <w:pPr>
            <w:pStyle w:val="Bibliografa"/>
            <w:numPr>
              <w:ilvl w:val="0"/>
              <w:numId w:val="31"/>
            </w:numPr>
            <w:spacing w:after="0"/>
            <w:rPr>
              <w:rFonts w:ascii="Century Gothic" w:hAnsi="Century Gothic"/>
              <w:color w:val="595959" w:themeColor="text1" w:themeTint="A6"/>
              <w:sz w:val="24"/>
              <w:lang w:val="en-US"/>
            </w:rPr>
          </w:pPr>
          <w:r w:rsidRPr="00443329">
            <w:rPr>
              <w:rFonts w:ascii="Century Gothic" w:hAnsi="Century Gothic"/>
              <w:color w:val="595959" w:themeColor="text1" w:themeTint="A6"/>
              <w:sz w:val="24"/>
              <w:lang w:val="es-EC"/>
            </w:rPr>
            <w:t xml:space="preserve">Ley de Régimen Tributario Interno. </w:t>
          </w:r>
          <w:r w:rsidRPr="00443329">
            <w:rPr>
              <w:rFonts w:ascii="Century Gothic" w:hAnsi="Century Gothic"/>
              <w:color w:val="595959" w:themeColor="text1" w:themeTint="A6"/>
              <w:sz w:val="24"/>
              <w:lang w:val="en-US"/>
            </w:rPr>
            <w:t>(2004). Ecuador.</w:t>
          </w:r>
        </w:p>
      </w:sdtContent>
    </w:sdt>
    <w:p w14:paraId="625290D5" w14:textId="77777777" w:rsidR="00492810" w:rsidRPr="00443329" w:rsidRDefault="00492810" w:rsidP="003C20C6">
      <w:pPr>
        <w:pStyle w:val="Prrafodelista"/>
        <w:numPr>
          <w:ilvl w:val="0"/>
          <w:numId w:val="31"/>
        </w:numPr>
        <w:tabs>
          <w:tab w:val="left" w:pos="735"/>
        </w:tabs>
        <w:rPr>
          <w:rFonts w:ascii="Century Gothic" w:hAnsi="Century Gothic"/>
          <w:color w:val="595959" w:themeColor="text1" w:themeTint="A6"/>
          <w:sz w:val="24"/>
          <w:lang w:val="it-IT"/>
        </w:rPr>
      </w:pPr>
      <w:r w:rsidRPr="00443329">
        <w:rPr>
          <w:rFonts w:ascii="Century Gothic" w:hAnsi="Century Gothic"/>
          <w:color w:val="595959" w:themeColor="text1" w:themeTint="A6"/>
          <w:sz w:val="24"/>
          <w:lang w:val="en-US"/>
        </w:rPr>
        <w:t xml:space="preserve">EUROSTAT. (2007). Manual on Business Demography Statics. </w:t>
      </w:r>
      <w:r w:rsidRPr="00443329">
        <w:rPr>
          <w:rFonts w:ascii="Century Gothic" w:hAnsi="Century Gothic"/>
          <w:color w:val="595959" w:themeColor="text1" w:themeTint="A6"/>
          <w:sz w:val="24"/>
          <w:lang w:val="it-IT"/>
        </w:rPr>
        <w:t>EUROSTAT.</w:t>
      </w:r>
    </w:p>
    <w:p w14:paraId="148B1E36"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lang w:val="en-US"/>
        </w:rPr>
      </w:pPr>
      <w:r w:rsidRPr="00443329">
        <w:rPr>
          <w:rFonts w:ascii="Century Gothic" w:hAnsi="Century Gothic"/>
          <w:color w:val="595959" w:themeColor="text1" w:themeTint="A6"/>
          <w:sz w:val="24"/>
          <w:lang w:val="en-US"/>
        </w:rPr>
        <w:t>EUROSTAT. (2010). Recommendations manual. Santiago de Chile: Business Registers.</w:t>
      </w:r>
    </w:p>
    <w:p w14:paraId="3812C77F" w14:textId="77777777" w:rsidR="00492810" w:rsidRPr="00443329" w:rsidRDefault="00492810" w:rsidP="003C20C6">
      <w:pPr>
        <w:pStyle w:val="Prrafodelista"/>
        <w:numPr>
          <w:ilvl w:val="0"/>
          <w:numId w:val="31"/>
        </w:numPr>
        <w:spacing w:after="0"/>
        <w:rPr>
          <w:rFonts w:ascii="Century Gothic" w:hAnsi="Century Gothic"/>
          <w:color w:val="595959" w:themeColor="text1" w:themeTint="A6"/>
          <w:sz w:val="24"/>
        </w:rPr>
      </w:pPr>
      <w:r w:rsidRPr="00443329">
        <w:rPr>
          <w:rFonts w:ascii="Century Gothic" w:hAnsi="Century Gothic"/>
          <w:color w:val="595959" w:themeColor="text1" w:themeTint="A6"/>
          <w:sz w:val="24"/>
        </w:rPr>
        <w:t>SRI. (2015). Guía Básica. Quito: SRI.</w:t>
      </w:r>
    </w:p>
    <w:p w14:paraId="437C30B9" w14:textId="77777777" w:rsidR="00492810" w:rsidRPr="00527E0F" w:rsidRDefault="00492810" w:rsidP="003C20C6">
      <w:pPr>
        <w:pStyle w:val="Prrafodelista"/>
        <w:numPr>
          <w:ilvl w:val="0"/>
          <w:numId w:val="31"/>
        </w:numPr>
        <w:spacing w:after="0"/>
        <w:rPr>
          <w:rFonts w:ascii="Century Gothic" w:hAnsi="Century Gothic" w:cs="Arial"/>
          <w:color w:val="595959" w:themeColor="text1" w:themeTint="A6"/>
          <w:sz w:val="24"/>
          <w:szCs w:val="24"/>
          <w:lang w:eastAsia="es-EC"/>
        </w:rPr>
      </w:pPr>
      <w:r w:rsidRPr="00443329">
        <w:rPr>
          <w:rFonts w:ascii="Century Gothic" w:hAnsi="Century Gothic"/>
          <w:color w:val="595959" w:themeColor="text1" w:themeTint="A6"/>
          <w:sz w:val="24"/>
        </w:rPr>
        <w:t>Wallgren, A. y. (2012). Estadísticas basadas en registros administrativos. México: INEGI</w:t>
      </w:r>
    </w:p>
    <w:p w14:paraId="024B8253" w14:textId="77777777" w:rsidR="00492810" w:rsidRPr="00CF0C1E" w:rsidRDefault="00492810" w:rsidP="00CF0C1E">
      <w:pPr>
        <w:rPr>
          <w:rFonts w:ascii="Century Gothic" w:hAnsi="Century Gothic"/>
          <w:b/>
          <w:color w:val="595959" w:themeColor="text1" w:themeTint="A6"/>
        </w:rPr>
      </w:pPr>
    </w:p>
    <w:p w14:paraId="25D36546" w14:textId="77777777" w:rsidR="00492810" w:rsidRPr="00443329" w:rsidRDefault="00492810" w:rsidP="00B04121">
      <w:pPr>
        <w:pStyle w:val="TITULOINEC"/>
        <w:outlineLvl w:val="0"/>
      </w:pPr>
      <w:bookmarkStart w:id="251" w:name="_Toc381774296"/>
      <w:bookmarkStart w:id="252" w:name="_Toc382901712"/>
      <w:bookmarkStart w:id="253" w:name="_Toc412998159"/>
      <w:bookmarkStart w:id="254" w:name="_Toc53757460"/>
      <w:r w:rsidRPr="00443329">
        <w:t>ANEXOS</w:t>
      </w:r>
      <w:bookmarkEnd w:id="251"/>
      <w:bookmarkEnd w:id="252"/>
      <w:bookmarkEnd w:id="253"/>
      <w:bookmarkEnd w:id="254"/>
    </w:p>
    <w:p w14:paraId="39E0EDF9" w14:textId="77777777" w:rsidR="00492810" w:rsidRPr="00443329" w:rsidRDefault="00492810" w:rsidP="00CF0C1E">
      <w:pPr>
        <w:rPr>
          <w:rFonts w:ascii="Century Gothic" w:hAnsi="Century Gothic"/>
          <w:color w:val="595959" w:themeColor="text1" w:themeTint="A6"/>
        </w:rPr>
      </w:pPr>
    </w:p>
    <w:p w14:paraId="05163523" w14:textId="0FF58782" w:rsidR="00492810" w:rsidRDefault="00492810" w:rsidP="00492810">
      <w:pPr>
        <w:rPr>
          <w:rFonts w:ascii="Century Gothic" w:hAnsi="Century Gothic"/>
          <w:color w:val="595959" w:themeColor="text1" w:themeTint="A6"/>
          <w:lang w:eastAsia="es-EC"/>
        </w:rPr>
      </w:pPr>
      <w:r w:rsidRPr="00527E0F">
        <w:rPr>
          <w:rFonts w:ascii="Century Gothic" w:hAnsi="Century Gothic"/>
          <w:color w:val="595959" w:themeColor="text1" w:themeTint="A6"/>
          <w:lang w:eastAsia="es-EC"/>
        </w:rPr>
        <w:t>Los anexos para el DIEE se ubican como documentos adicionales en los que se contempla:</w:t>
      </w:r>
    </w:p>
    <w:p w14:paraId="595C34FB" w14:textId="77777777" w:rsidR="001056B6" w:rsidRPr="00527E0F" w:rsidRDefault="001056B6" w:rsidP="00492810">
      <w:pPr>
        <w:rPr>
          <w:rFonts w:ascii="Century Gothic" w:hAnsi="Century Gothic"/>
          <w:color w:val="595959" w:themeColor="text1" w:themeTint="A6"/>
          <w:lang w:eastAsia="es-EC"/>
        </w:rPr>
      </w:pPr>
    </w:p>
    <w:p w14:paraId="400144B9" w14:textId="77777777"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1: Metodología para la continuidad estadística de empresas.</w:t>
      </w:r>
    </w:p>
    <w:p w14:paraId="0BB65237" w14:textId="77777777"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2: Lista de Variables del DIEE</w:t>
      </w:r>
    </w:p>
    <w:p w14:paraId="6C7CB5C2" w14:textId="77777777"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3: Plan de Principales Tabulados del DIEE</w:t>
      </w:r>
    </w:p>
    <w:p w14:paraId="0755D302" w14:textId="0ECBE55E"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4: Variables agrupadas por unidad legal, empresa y unidad local.</w:t>
      </w:r>
    </w:p>
    <w:p w14:paraId="028CAD33" w14:textId="7E198DD7"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5: Criterios de validación y matriz de prioridades.</w:t>
      </w:r>
    </w:p>
    <w:p w14:paraId="69DD3D37" w14:textId="77777777" w:rsidR="00492810" w:rsidRPr="00443329" w:rsidRDefault="00492810" w:rsidP="003C20C6">
      <w:pPr>
        <w:pStyle w:val="Prrafodelista"/>
        <w:numPr>
          <w:ilvl w:val="0"/>
          <w:numId w:val="5"/>
        </w:numPr>
        <w:rPr>
          <w:rFonts w:ascii="Century Gothic" w:hAnsi="Century Gothic"/>
          <w:color w:val="595959" w:themeColor="text1" w:themeTint="A6"/>
          <w:sz w:val="24"/>
        </w:rPr>
      </w:pPr>
      <w:r w:rsidRPr="00443329">
        <w:rPr>
          <w:rFonts w:ascii="Century Gothic" w:hAnsi="Century Gothic"/>
          <w:color w:val="595959" w:themeColor="text1" w:themeTint="A6"/>
          <w:sz w:val="24"/>
        </w:rPr>
        <w:t>Anexo 6: Plan de validación y tabulación</w:t>
      </w:r>
    </w:p>
    <w:bookmarkEnd w:id="214"/>
    <w:p w14:paraId="16F100D2" w14:textId="20C2EBAD" w:rsidR="009B4D74" w:rsidRPr="00E21D4E" w:rsidRDefault="009B4D74"/>
    <w:p w14:paraId="36B9326F" w14:textId="32EEB1A4" w:rsidR="009B4D74" w:rsidRPr="00E21D4E" w:rsidRDefault="009B4D74" w:rsidP="00417C40">
      <w:pPr>
        <w:ind w:left="708" w:hanging="708"/>
      </w:pPr>
    </w:p>
    <w:p w14:paraId="79D0A45D" w14:textId="4FFDFDEA" w:rsidR="009B4D74" w:rsidRDefault="009B4D74"/>
    <w:p w14:paraId="77EA425C" w14:textId="77777777" w:rsidR="00144C9D" w:rsidRDefault="00144C9D"/>
    <w:p w14:paraId="62C99551" w14:textId="77777777" w:rsidR="00144C9D" w:rsidRDefault="00144C9D"/>
    <w:p w14:paraId="6A723C62" w14:textId="0C46A794" w:rsidR="00144C9D" w:rsidRDefault="00144C9D"/>
    <w:p w14:paraId="3B837463" w14:textId="195E9E7C" w:rsidR="00144C9D" w:rsidRDefault="00144C9D"/>
    <w:p w14:paraId="3D14CC50" w14:textId="69692AFF" w:rsidR="00144C9D" w:rsidRDefault="00144C9D"/>
    <w:p w14:paraId="61EEE470" w14:textId="6C08F5C7" w:rsidR="00144C9D" w:rsidRDefault="00144C9D"/>
    <w:p w14:paraId="24BE928D" w14:textId="6F259AF5" w:rsidR="00144C9D" w:rsidRDefault="00144C9D"/>
    <w:p w14:paraId="3E08FA59" w14:textId="4B9C65CD" w:rsidR="00144C9D" w:rsidRDefault="00144C9D"/>
    <w:p w14:paraId="7978FAFA" w14:textId="19A856AE" w:rsidR="00144C9D" w:rsidRDefault="00117F4A">
      <w:r>
        <w:rPr>
          <w:noProof/>
          <w:lang w:eastAsia="es-EC"/>
        </w:rPr>
        <w:drawing>
          <wp:anchor distT="0" distB="0" distL="114300" distR="114300" simplePos="0" relativeHeight="251661312" behindDoc="1" locked="0" layoutInCell="1" allowOverlap="1" wp14:anchorId="7CB8EAF6" wp14:editId="791F6FF0">
            <wp:simplePos x="0" y="0"/>
            <wp:positionH relativeFrom="page">
              <wp:align>left</wp:align>
            </wp:positionH>
            <wp:positionV relativeFrom="paragraph">
              <wp:posOffset>-899822</wp:posOffset>
            </wp:positionV>
            <wp:extent cx="7543165" cy="10866120"/>
            <wp:effectExtent l="0" t="0" r="63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43165" cy="10866120"/>
                    </a:xfrm>
                    <a:prstGeom prst="rect">
                      <a:avLst/>
                    </a:prstGeom>
                  </pic:spPr>
                </pic:pic>
              </a:graphicData>
            </a:graphic>
            <wp14:sizeRelH relativeFrom="page">
              <wp14:pctWidth>0</wp14:pctWidth>
            </wp14:sizeRelH>
            <wp14:sizeRelV relativeFrom="page">
              <wp14:pctHeight>0</wp14:pctHeight>
            </wp14:sizeRelV>
          </wp:anchor>
        </w:drawing>
      </w:r>
    </w:p>
    <w:p w14:paraId="31413013" w14:textId="77777777" w:rsidR="00144C9D" w:rsidRPr="00E21D4E" w:rsidRDefault="00144C9D"/>
    <w:p w14:paraId="543E6E08" w14:textId="2FAB4BD8" w:rsidR="009B4D74" w:rsidRPr="00E21D4E" w:rsidRDefault="009B4D74" w:rsidP="00443329"/>
    <w:p w14:paraId="7A10189F" w14:textId="77777777" w:rsidR="009B4D74" w:rsidRPr="00E21D4E" w:rsidRDefault="009B4D74" w:rsidP="00443329"/>
    <w:p w14:paraId="568D854B" w14:textId="386E0712" w:rsidR="009B4D74" w:rsidRPr="00E21D4E" w:rsidRDefault="009B4D74" w:rsidP="00443329"/>
    <w:bookmarkEnd w:id="15"/>
    <w:bookmarkEnd w:id="16"/>
    <w:bookmarkEnd w:id="156"/>
    <w:p w14:paraId="0E3F8011" w14:textId="740371FF" w:rsidR="009B4D74" w:rsidRPr="00E21D4E" w:rsidRDefault="009B4D74" w:rsidP="00CF0C1E"/>
    <w:sectPr w:rsidR="009B4D74" w:rsidRPr="00E21D4E" w:rsidSect="00443329">
      <w:headerReference w:type="even" r:id="rId19"/>
      <w:headerReference w:type="default" r:id="rId20"/>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659862" w14:textId="77777777" w:rsidR="00251301" w:rsidRDefault="00251301" w:rsidP="00CF0C1E">
      <w:r>
        <w:separator/>
      </w:r>
    </w:p>
  </w:endnote>
  <w:endnote w:type="continuationSeparator" w:id="0">
    <w:p w14:paraId="7144FD1D" w14:textId="77777777" w:rsidR="00251301" w:rsidRDefault="00251301" w:rsidP="00CF0C1E">
      <w:r>
        <w:continuationSeparator/>
      </w:r>
    </w:p>
  </w:endnote>
  <w:endnote w:type="continuationNotice" w:id="1">
    <w:p w14:paraId="21F2FE95" w14:textId="77777777" w:rsidR="00251301" w:rsidRDefault="00251301" w:rsidP="00CF0C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8F9B19" w14:textId="77777777" w:rsidR="00251301" w:rsidRDefault="00251301" w:rsidP="00CF0C1E">
      <w:r>
        <w:separator/>
      </w:r>
    </w:p>
  </w:footnote>
  <w:footnote w:type="continuationSeparator" w:id="0">
    <w:p w14:paraId="09006810" w14:textId="77777777" w:rsidR="00251301" w:rsidRDefault="00251301" w:rsidP="00CF0C1E">
      <w:r>
        <w:continuationSeparator/>
      </w:r>
    </w:p>
  </w:footnote>
  <w:footnote w:type="continuationNotice" w:id="1">
    <w:p w14:paraId="22DC8BA3" w14:textId="77777777" w:rsidR="00251301" w:rsidRDefault="00251301" w:rsidP="00CF0C1E"/>
  </w:footnote>
  <w:footnote w:id="2">
    <w:p w14:paraId="58FDA1D7" w14:textId="77777777" w:rsidR="00BF7001" w:rsidRDefault="00BF7001" w:rsidP="00492810">
      <w:pPr>
        <w:pStyle w:val="Textonotapie"/>
      </w:pPr>
      <w:r w:rsidRPr="00443329">
        <w:rPr>
          <w:rStyle w:val="Refdenotaalpie"/>
          <w:rFonts w:ascii="Century Gothic" w:hAnsi="Century Gothic"/>
          <w:color w:val="000000" w:themeColor="text1"/>
        </w:rPr>
        <w:footnoteRef/>
      </w:r>
      <w:r w:rsidRPr="00141159">
        <w:rPr>
          <w:sz w:val="16"/>
        </w:rPr>
        <w:t xml:space="preserve"> </w:t>
      </w:r>
      <w:r w:rsidRPr="005408CE">
        <w:rPr>
          <w:rFonts w:ascii="Century Gothic" w:hAnsi="Century Gothic"/>
          <w:color w:val="595959" w:themeColor="text1" w:themeTint="A6"/>
          <w:sz w:val="16"/>
          <w:szCs w:val="24"/>
        </w:rPr>
        <w:t>Las primeras versiones del Directorio de Empresas, consideraba únicamente la información de ventas,</w:t>
      </w:r>
      <w:r>
        <w:rPr>
          <w:rFonts w:ascii="Century Gothic" w:hAnsi="Century Gothic"/>
          <w:color w:val="595959" w:themeColor="text1" w:themeTint="A6"/>
          <w:sz w:val="16"/>
          <w:szCs w:val="24"/>
        </w:rPr>
        <w:t xml:space="preserve"> registros de pago de RISE al SRI,</w:t>
      </w:r>
      <w:r w:rsidRPr="005408CE">
        <w:rPr>
          <w:rFonts w:ascii="Century Gothic" w:hAnsi="Century Gothic"/>
          <w:color w:val="595959" w:themeColor="text1" w:themeTint="A6"/>
          <w:sz w:val="16"/>
          <w:szCs w:val="24"/>
        </w:rPr>
        <w:t xml:space="preserve"> </w:t>
      </w:r>
      <w:r>
        <w:rPr>
          <w:rFonts w:ascii="Century Gothic" w:hAnsi="Century Gothic"/>
          <w:color w:val="595959" w:themeColor="text1" w:themeTint="A6"/>
          <w:sz w:val="16"/>
          <w:szCs w:val="24"/>
        </w:rPr>
        <w:t>empleadores y afiliados de</w:t>
      </w:r>
      <w:r w:rsidRPr="005408CE">
        <w:rPr>
          <w:rFonts w:ascii="Century Gothic" w:hAnsi="Century Gothic"/>
          <w:color w:val="595959" w:themeColor="text1" w:themeTint="A6"/>
          <w:sz w:val="16"/>
          <w:szCs w:val="24"/>
        </w:rPr>
        <w:t xml:space="preserve"> la seguridad social y rama de actividad económica de las empresas (públicas o privadas) para definir la cobertura de la operación estadística. Pero desde la quinta versión, que corresponde al período 2016, el Directorio incorpora los registros de instituciones educativas de nivel básico y bachillerato proporcionados por el Ministerio de Educación.</w:t>
      </w:r>
    </w:p>
  </w:footnote>
  <w:footnote w:id="3">
    <w:p w14:paraId="15369325" w14:textId="77777777" w:rsidR="00BF7001" w:rsidRPr="007935BE" w:rsidRDefault="00BF7001" w:rsidP="00492810">
      <w:pPr>
        <w:pStyle w:val="Textonotapie"/>
        <w:rPr>
          <w:rFonts w:ascii="Century Gothic" w:hAnsi="Century Gothic"/>
          <w:color w:val="595959" w:themeColor="text1" w:themeTint="A6"/>
          <w:szCs w:val="24"/>
        </w:rPr>
      </w:pPr>
      <w:r w:rsidRPr="00443329">
        <w:rPr>
          <w:rStyle w:val="Refdenotaalpie"/>
          <w:rFonts w:ascii="Century Gothic" w:hAnsi="Century Gothic"/>
        </w:rPr>
        <w:footnoteRef/>
      </w:r>
      <w:r w:rsidRPr="00443329">
        <w:rPr>
          <w:rStyle w:val="Refdenotaalpie"/>
          <w:rFonts w:ascii="Century Gothic" w:hAnsi="Century Gothic"/>
        </w:rPr>
        <w:t xml:space="preserve"> </w:t>
      </w:r>
      <w:r>
        <w:rPr>
          <w:rFonts w:ascii="Century Gothic" w:hAnsi="Century Gothic"/>
          <w:color w:val="595959" w:themeColor="text1" w:themeTint="A6"/>
          <w:sz w:val="16"/>
          <w:szCs w:val="24"/>
        </w:rPr>
        <w:t>Generalmente el</w:t>
      </w:r>
      <w:r w:rsidRPr="007935BE">
        <w:rPr>
          <w:rFonts w:ascii="Century Gothic" w:hAnsi="Century Gothic"/>
          <w:color w:val="595959" w:themeColor="text1" w:themeTint="A6"/>
          <w:sz w:val="16"/>
          <w:szCs w:val="24"/>
        </w:rPr>
        <w:t xml:space="preserve"> ejercicio fiscal que corresponde a un año calendario.</w:t>
      </w:r>
    </w:p>
  </w:footnote>
  <w:footnote w:id="4">
    <w:p w14:paraId="69B7A457" w14:textId="39EC0881" w:rsidR="00BF7001" w:rsidRPr="007935BE" w:rsidRDefault="00BF7001" w:rsidP="00492810">
      <w:pPr>
        <w:pStyle w:val="Textonotapie"/>
        <w:rPr>
          <w:rFonts w:ascii="Century Gothic" w:hAnsi="Century Gothic"/>
          <w:sz w:val="16"/>
          <w:szCs w:val="16"/>
          <w:lang w:val="es-ES"/>
        </w:rPr>
      </w:pPr>
      <w:r w:rsidRPr="00443329">
        <w:rPr>
          <w:rStyle w:val="Refdenotaalpie"/>
          <w:rFonts w:ascii="Century Gothic" w:hAnsi="Century Gothic"/>
        </w:rPr>
        <w:footnoteRef/>
      </w:r>
      <w:r w:rsidRPr="007935BE">
        <w:rPr>
          <w:rFonts w:ascii="Century Gothic" w:hAnsi="Century Gothic"/>
          <w:sz w:val="16"/>
          <w:szCs w:val="16"/>
        </w:rPr>
        <w:t xml:space="preserve"> </w:t>
      </w:r>
      <w:r w:rsidRPr="007935BE">
        <w:rPr>
          <w:rFonts w:ascii="Century Gothic" w:hAnsi="Century Gothic"/>
          <w:color w:val="595959" w:themeColor="text1" w:themeTint="A6"/>
          <w:sz w:val="16"/>
          <w:szCs w:val="16"/>
        </w:rPr>
        <w:t>Las encuestas estructurales si bien se recolectan anualmente desde 2007, se enfocan en las empresas grandes y medianas</w:t>
      </w:r>
      <w:r>
        <w:rPr>
          <w:rFonts w:ascii="Century Gothic" w:hAnsi="Century Gothic"/>
          <w:color w:val="595959" w:themeColor="text1" w:themeTint="A6"/>
          <w:sz w:val="16"/>
          <w:szCs w:val="16"/>
        </w:rPr>
        <w:t xml:space="preserve">. </w:t>
      </w:r>
      <w:r w:rsidRPr="007935BE">
        <w:rPr>
          <w:rFonts w:ascii="Century Gothic" w:hAnsi="Century Gothic"/>
          <w:color w:val="595959" w:themeColor="text1" w:themeTint="A6"/>
          <w:sz w:val="16"/>
          <w:szCs w:val="16"/>
        </w:rPr>
        <w:t>Los documento</w:t>
      </w:r>
      <w:r>
        <w:rPr>
          <w:rFonts w:ascii="Century Gothic" w:hAnsi="Century Gothic"/>
          <w:color w:val="595959" w:themeColor="text1" w:themeTint="A6"/>
          <w:sz w:val="16"/>
          <w:szCs w:val="16"/>
        </w:rPr>
        <w:t>s</w:t>
      </w:r>
      <w:r w:rsidRPr="007935BE">
        <w:rPr>
          <w:rFonts w:ascii="Century Gothic" w:hAnsi="Century Gothic"/>
          <w:color w:val="595959" w:themeColor="text1" w:themeTint="A6"/>
          <w:sz w:val="16"/>
          <w:szCs w:val="16"/>
        </w:rPr>
        <w:t xml:space="preserve"> metodológicos del Censo Nacional Económico 2010, Encuesta Exhaustiva, Encuesta Estructural Empresarial se encuentran disponible</w:t>
      </w:r>
      <w:r>
        <w:rPr>
          <w:rFonts w:ascii="Century Gothic" w:hAnsi="Century Gothic"/>
          <w:color w:val="595959" w:themeColor="text1" w:themeTint="A6"/>
          <w:sz w:val="16"/>
          <w:szCs w:val="16"/>
        </w:rPr>
        <w:t>s</w:t>
      </w:r>
      <w:r w:rsidRPr="007935BE">
        <w:rPr>
          <w:rFonts w:ascii="Century Gothic" w:hAnsi="Century Gothic"/>
          <w:color w:val="595959" w:themeColor="text1" w:themeTint="A6"/>
          <w:sz w:val="16"/>
          <w:szCs w:val="16"/>
        </w:rPr>
        <w:t xml:space="preserve"> en </w:t>
      </w:r>
      <w:r w:rsidRPr="00F137BF">
        <w:rPr>
          <w:rFonts w:ascii="Century Gothic" w:hAnsi="Century Gothic"/>
          <w:color w:val="595959" w:themeColor="text1" w:themeTint="A6"/>
          <w:sz w:val="16"/>
          <w:szCs w:val="16"/>
        </w:rPr>
        <w:t>www.ecuadorencifras.gob.ec/estadisticas-de-las-empresas/</w:t>
      </w:r>
    </w:p>
  </w:footnote>
  <w:footnote w:id="5">
    <w:p w14:paraId="4212A1AF" w14:textId="76451998" w:rsidR="00BF7001" w:rsidRPr="007935BE" w:rsidRDefault="00BF7001" w:rsidP="00492810">
      <w:pPr>
        <w:pStyle w:val="Textonotapie"/>
        <w:rPr>
          <w:rFonts w:ascii="Century Gothic" w:hAnsi="Century Gothic"/>
          <w:sz w:val="16"/>
          <w:szCs w:val="16"/>
        </w:rPr>
      </w:pPr>
      <w:r w:rsidRPr="00443329">
        <w:rPr>
          <w:rStyle w:val="Refdenotaalpie"/>
          <w:rFonts w:ascii="Century Gothic" w:hAnsi="Century Gothic"/>
          <w:color w:val="595959" w:themeColor="text1" w:themeTint="A6"/>
        </w:rPr>
        <w:footnoteRef/>
      </w:r>
      <w:r w:rsidRPr="007935BE">
        <w:rPr>
          <w:rFonts w:ascii="Century Gothic" w:hAnsi="Century Gothic"/>
          <w:color w:val="595959" w:themeColor="text1" w:themeTint="A6"/>
          <w:sz w:val="16"/>
          <w:szCs w:val="16"/>
        </w:rPr>
        <w:t xml:space="preserve"> Constituye </w:t>
      </w:r>
      <w:r>
        <w:rPr>
          <w:rFonts w:ascii="Century Gothic" w:hAnsi="Century Gothic"/>
          <w:color w:val="595959" w:themeColor="text1" w:themeTint="A6"/>
          <w:sz w:val="16"/>
          <w:szCs w:val="16"/>
        </w:rPr>
        <w:t xml:space="preserve">el insumo para la elaboración de documentos analíticos como es el </w:t>
      </w:r>
      <w:r w:rsidRPr="007935BE">
        <w:rPr>
          <w:rFonts w:ascii="Century Gothic" w:hAnsi="Century Gothic"/>
          <w:color w:val="595959" w:themeColor="text1" w:themeTint="A6"/>
          <w:sz w:val="16"/>
          <w:szCs w:val="16"/>
        </w:rPr>
        <w:t>“Panorama Laboral y Empresarial” que se publica anualmente</w:t>
      </w:r>
      <w:r>
        <w:rPr>
          <w:rFonts w:ascii="Century Gothic" w:hAnsi="Century Gothic"/>
          <w:color w:val="595959" w:themeColor="text1" w:themeTint="A6"/>
          <w:sz w:val="16"/>
          <w:szCs w:val="16"/>
        </w:rPr>
        <w:t xml:space="preserve"> por el INEC</w:t>
      </w:r>
      <w:r w:rsidRPr="007935BE">
        <w:rPr>
          <w:rFonts w:ascii="Century Gothic" w:hAnsi="Century Gothic"/>
          <w:color w:val="595959" w:themeColor="text1" w:themeTint="A6"/>
          <w:sz w:val="16"/>
          <w:szCs w:val="16"/>
        </w:rPr>
        <w:t>.</w:t>
      </w:r>
      <w:r>
        <w:rPr>
          <w:rFonts w:ascii="Century Gothic" w:hAnsi="Century Gothic"/>
          <w:color w:val="595959" w:themeColor="text1" w:themeTint="A6"/>
          <w:sz w:val="16"/>
          <w:szCs w:val="16"/>
        </w:rPr>
        <w:t xml:space="preserve"> Se lo puede encontrar en </w:t>
      </w:r>
      <w:r w:rsidRPr="00AE2BAC">
        <w:rPr>
          <w:rFonts w:ascii="Century Gothic" w:hAnsi="Century Gothic"/>
          <w:color w:val="595959" w:themeColor="text1" w:themeTint="A6"/>
          <w:sz w:val="16"/>
          <w:szCs w:val="16"/>
        </w:rPr>
        <w:t>www.ecuadorencifras.gob.ec/estudios-y-analisis/</w:t>
      </w:r>
    </w:p>
  </w:footnote>
  <w:footnote w:id="6">
    <w:p w14:paraId="5FD17CEE" w14:textId="77777777" w:rsidR="00BF7001" w:rsidRPr="003E7E74" w:rsidRDefault="00BF7001" w:rsidP="00492810">
      <w:pPr>
        <w:pStyle w:val="Textonotapie"/>
        <w:rPr>
          <w:rFonts w:ascii="Century Gothic" w:hAnsi="Century Gothic"/>
          <w:color w:val="595959" w:themeColor="text1" w:themeTint="A6"/>
          <w:sz w:val="16"/>
          <w:szCs w:val="16"/>
        </w:rPr>
      </w:pPr>
      <w:r w:rsidRPr="00443329">
        <w:rPr>
          <w:rStyle w:val="Refdenotaalpie"/>
          <w:rFonts w:ascii="Century Gothic" w:hAnsi="Century Gothic"/>
          <w:color w:val="595959" w:themeColor="text1" w:themeTint="A6"/>
        </w:rPr>
        <w:footnoteRef/>
      </w:r>
      <w:r>
        <w:t xml:space="preserve"> </w:t>
      </w:r>
      <w:r w:rsidRPr="003E7E74">
        <w:rPr>
          <w:rFonts w:ascii="Century Gothic" w:hAnsi="Century Gothic"/>
          <w:color w:val="595959" w:themeColor="text1" w:themeTint="A6"/>
          <w:sz w:val="16"/>
          <w:szCs w:val="16"/>
        </w:rPr>
        <w:t>Código único para las instituciones educativas que constan en el</w:t>
      </w:r>
      <w:r>
        <w:t xml:space="preserve"> </w:t>
      </w:r>
      <w:r w:rsidRPr="003E7E74">
        <w:rPr>
          <w:rFonts w:ascii="Century Gothic" w:hAnsi="Century Gothic"/>
          <w:color w:val="595959" w:themeColor="text1" w:themeTint="A6"/>
          <w:sz w:val="16"/>
          <w:szCs w:val="16"/>
        </w:rPr>
        <w:t>Archivo Maestro de Instituciones Educativas</w:t>
      </w:r>
    </w:p>
  </w:footnote>
  <w:footnote w:id="7">
    <w:p w14:paraId="02B2A5CF" w14:textId="46BE67BD" w:rsidR="00BF7001" w:rsidRPr="007935BE" w:rsidRDefault="00BF7001" w:rsidP="00492810">
      <w:pPr>
        <w:pStyle w:val="Textonotapie"/>
        <w:rPr>
          <w:rFonts w:ascii="Century Gothic" w:hAnsi="Century Gothic"/>
          <w:color w:val="595959" w:themeColor="text1" w:themeTint="A6"/>
          <w:sz w:val="16"/>
          <w:szCs w:val="16"/>
          <w:lang w:val="es-ES"/>
        </w:rPr>
      </w:pPr>
      <w:r w:rsidRPr="00443329">
        <w:rPr>
          <w:rStyle w:val="Refdenotaalpie"/>
          <w:rFonts w:ascii="Century Gothic" w:hAnsi="Century Gothic"/>
          <w:color w:val="595959" w:themeColor="text1" w:themeTint="A6"/>
        </w:rPr>
        <w:footnoteRef/>
      </w:r>
      <w:r w:rsidRPr="007935BE">
        <w:rPr>
          <w:rFonts w:ascii="Century Gothic" w:hAnsi="Century Gothic"/>
          <w:color w:val="595959" w:themeColor="text1" w:themeTint="A6"/>
          <w:sz w:val="16"/>
          <w:szCs w:val="16"/>
        </w:rPr>
        <w:t xml:space="preserve"> Están sujetos al RISE las personas naturales que tienen ingresos anuales de hasta USD 60</w:t>
      </w:r>
      <w:r>
        <w:rPr>
          <w:rFonts w:ascii="Century Gothic" w:hAnsi="Century Gothic"/>
          <w:color w:val="595959" w:themeColor="text1" w:themeTint="A6"/>
          <w:sz w:val="16"/>
          <w:szCs w:val="16"/>
        </w:rPr>
        <w:t xml:space="preserve">.000 </w:t>
      </w:r>
      <w:r w:rsidRPr="007935BE">
        <w:rPr>
          <w:rFonts w:ascii="Century Gothic" w:hAnsi="Century Gothic"/>
          <w:color w:val="595959" w:themeColor="text1" w:themeTint="A6"/>
          <w:sz w:val="16"/>
          <w:szCs w:val="16"/>
        </w:rPr>
        <w:t>o si se encuentra bajo relación de dependencia</w:t>
      </w:r>
      <w:r>
        <w:rPr>
          <w:rFonts w:ascii="Century Gothic" w:hAnsi="Century Gothic"/>
          <w:color w:val="595959" w:themeColor="text1" w:themeTint="A6"/>
          <w:sz w:val="16"/>
          <w:szCs w:val="16"/>
        </w:rPr>
        <w:t>,</w:t>
      </w:r>
      <w:r w:rsidRPr="007935BE">
        <w:rPr>
          <w:rFonts w:ascii="Century Gothic" w:hAnsi="Century Gothic"/>
          <w:color w:val="595959" w:themeColor="text1" w:themeTint="A6"/>
          <w:sz w:val="16"/>
          <w:szCs w:val="16"/>
        </w:rPr>
        <w:t xml:space="preserve"> el ingreso por este concepto no supere la fracción básica del Impuesto a la Renta gravado con tarifa cero por ciento (0%) para cada año. Estas personas no deben dedicarse a actividades restringidas ni haber sido agente de retención durante los últimos 3 años. </w:t>
      </w:r>
      <w:sdt>
        <w:sdtPr>
          <w:rPr>
            <w:rFonts w:ascii="Century Gothic" w:hAnsi="Century Gothic"/>
            <w:color w:val="595959" w:themeColor="text1" w:themeTint="A6"/>
            <w:sz w:val="16"/>
            <w:szCs w:val="16"/>
          </w:rPr>
          <w:id w:val="959997758"/>
          <w:citation/>
        </w:sdtPr>
        <w:sdtEndPr/>
        <w:sdtContent>
          <w:r>
            <w:rPr>
              <w:rFonts w:ascii="Century Gothic" w:hAnsi="Century Gothic"/>
              <w:color w:val="595959" w:themeColor="text1" w:themeTint="A6"/>
              <w:sz w:val="16"/>
              <w:szCs w:val="16"/>
            </w:rPr>
            <w:fldChar w:fldCharType="begin"/>
          </w:r>
          <w:r>
            <w:rPr>
              <w:rFonts w:ascii="Century Gothic" w:hAnsi="Century Gothic"/>
              <w:color w:val="595959" w:themeColor="text1" w:themeTint="A6"/>
              <w:sz w:val="16"/>
              <w:szCs w:val="16"/>
            </w:rPr>
            <w:instrText xml:space="preserve"> CITATION Ley04 \l 12298 </w:instrText>
          </w:r>
          <w:r>
            <w:rPr>
              <w:rFonts w:ascii="Century Gothic" w:hAnsi="Century Gothic"/>
              <w:color w:val="595959" w:themeColor="text1" w:themeTint="A6"/>
              <w:sz w:val="16"/>
              <w:szCs w:val="16"/>
            </w:rPr>
            <w:fldChar w:fldCharType="separate"/>
          </w:r>
          <w:r>
            <w:rPr>
              <w:rFonts w:ascii="Century Gothic" w:hAnsi="Century Gothic"/>
              <w:noProof/>
              <w:color w:val="595959" w:themeColor="text1" w:themeTint="A6"/>
              <w:sz w:val="16"/>
              <w:szCs w:val="16"/>
            </w:rPr>
            <w:t xml:space="preserve"> </w:t>
          </w:r>
          <w:r w:rsidRPr="00317D4E">
            <w:rPr>
              <w:rFonts w:ascii="Century Gothic" w:hAnsi="Century Gothic"/>
              <w:noProof/>
              <w:color w:val="595959" w:themeColor="text1" w:themeTint="A6"/>
              <w:sz w:val="16"/>
              <w:szCs w:val="16"/>
            </w:rPr>
            <w:t>(Ley de Régimen Tributario Interno, 2004)</w:t>
          </w:r>
          <w:r>
            <w:rPr>
              <w:rFonts w:ascii="Century Gothic" w:hAnsi="Century Gothic"/>
              <w:color w:val="595959" w:themeColor="text1" w:themeTint="A6"/>
              <w:sz w:val="16"/>
              <w:szCs w:val="16"/>
            </w:rPr>
            <w:fldChar w:fldCharType="end"/>
          </w:r>
        </w:sdtContent>
      </w:sdt>
      <w:r>
        <w:rPr>
          <w:rFonts w:ascii="Century Gothic" w:hAnsi="Century Gothic"/>
          <w:color w:val="595959" w:themeColor="text1" w:themeTint="A6"/>
          <w:sz w:val="16"/>
          <w:szCs w:val="16"/>
        </w:rPr>
        <w:t>art. 97.2</w:t>
      </w:r>
    </w:p>
  </w:footnote>
  <w:footnote w:id="8">
    <w:p w14:paraId="1A8FA688" w14:textId="77777777" w:rsidR="00BF7001" w:rsidRPr="007935BE" w:rsidRDefault="00BF7001" w:rsidP="00492810">
      <w:pPr>
        <w:pStyle w:val="Textonotapie"/>
        <w:rPr>
          <w:rFonts w:ascii="Century Gothic" w:hAnsi="Century Gothic"/>
          <w:color w:val="595959" w:themeColor="text1" w:themeTint="A6"/>
          <w:sz w:val="16"/>
          <w:szCs w:val="16"/>
        </w:rPr>
      </w:pPr>
      <w:r w:rsidRPr="00443329">
        <w:rPr>
          <w:rStyle w:val="Refdenotaalpie"/>
          <w:rFonts w:ascii="Century Gothic" w:hAnsi="Century Gothic"/>
          <w:color w:val="595959" w:themeColor="text1" w:themeTint="A6"/>
        </w:rPr>
        <w:footnoteRef/>
      </w:r>
      <w:r w:rsidRPr="004A6753">
        <w:rPr>
          <w:rFonts w:ascii="Century Gothic" w:hAnsi="Century Gothic"/>
        </w:rPr>
        <w:t xml:space="preserve"> </w:t>
      </w:r>
      <w:r w:rsidRPr="007935BE">
        <w:rPr>
          <w:rFonts w:ascii="Century Gothic" w:hAnsi="Century Gothic"/>
          <w:color w:val="595959" w:themeColor="text1" w:themeTint="A6"/>
          <w:sz w:val="16"/>
          <w:szCs w:val="16"/>
        </w:rPr>
        <w:t xml:space="preserve">La ubicación geográfica corresponde al domicilio </w:t>
      </w:r>
      <w:r>
        <w:rPr>
          <w:rFonts w:ascii="Century Gothic" w:hAnsi="Century Gothic"/>
          <w:color w:val="595959" w:themeColor="text1" w:themeTint="A6"/>
          <w:sz w:val="16"/>
          <w:szCs w:val="16"/>
        </w:rPr>
        <w:t>del establecimiento matriz</w:t>
      </w:r>
      <w:r w:rsidRPr="007935BE">
        <w:rPr>
          <w:rFonts w:ascii="Century Gothic" w:hAnsi="Century Gothic"/>
          <w:color w:val="595959" w:themeColor="text1" w:themeTint="A6"/>
          <w:sz w:val="16"/>
          <w:szCs w:val="16"/>
        </w:rPr>
        <w:t xml:space="preserve"> de la unidad de análisis.</w:t>
      </w:r>
    </w:p>
    <w:p w14:paraId="13F468F5" w14:textId="77777777" w:rsidR="00BF7001" w:rsidRDefault="00BF7001" w:rsidP="00492810">
      <w:pPr>
        <w:pStyle w:val="Textonotapie"/>
      </w:pPr>
    </w:p>
  </w:footnote>
  <w:footnote w:id="9">
    <w:p w14:paraId="226B364E" w14:textId="654BDC95" w:rsidR="00BF7001" w:rsidRPr="007935BE" w:rsidRDefault="00BF7001" w:rsidP="00492810">
      <w:pPr>
        <w:pStyle w:val="Textonotapie"/>
        <w:rPr>
          <w:rFonts w:ascii="Century Gothic" w:hAnsi="Century Gothic"/>
          <w:color w:val="595959" w:themeColor="text1" w:themeTint="A6"/>
          <w:sz w:val="16"/>
          <w:szCs w:val="16"/>
        </w:rPr>
      </w:pPr>
      <w:r w:rsidRPr="00443329">
        <w:rPr>
          <w:rStyle w:val="Refdenotaalpie"/>
          <w:rFonts w:ascii="Century Gothic" w:hAnsi="Century Gothic"/>
        </w:rPr>
        <w:footnoteRef/>
      </w:r>
      <w:r w:rsidRPr="007935BE">
        <w:rPr>
          <w:rFonts w:ascii="Century Gothic" w:hAnsi="Century Gothic"/>
          <w:sz w:val="16"/>
          <w:szCs w:val="16"/>
        </w:rPr>
        <w:t xml:space="preserve"> </w:t>
      </w:r>
      <w:r w:rsidRPr="007935BE">
        <w:rPr>
          <w:rFonts w:ascii="Century Gothic" w:hAnsi="Century Gothic"/>
          <w:color w:val="595959" w:themeColor="text1" w:themeTint="A6"/>
          <w:sz w:val="16"/>
          <w:szCs w:val="16"/>
        </w:rPr>
        <w:t xml:space="preserve">Las recomendaciones se detallan en los documentos titulados: “Informe final de Estudios Ecuador 2011” </w:t>
      </w:r>
      <w:r>
        <w:rPr>
          <w:rFonts w:ascii="Century Gothic" w:hAnsi="Century Gothic"/>
          <w:color w:val="595959" w:themeColor="text1" w:themeTint="A6"/>
          <w:sz w:val="16"/>
          <w:szCs w:val="16"/>
        </w:rPr>
        <w:t>e</w:t>
      </w:r>
      <w:r w:rsidRPr="007935BE">
        <w:rPr>
          <w:rFonts w:ascii="Century Gothic" w:hAnsi="Century Gothic"/>
          <w:color w:val="595959" w:themeColor="text1" w:themeTint="A6"/>
          <w:sz w:val="16"/>
          <w:szCs w:val="16"/>
        </w:rPr>
        <w:t xml:space="preserve"> “Informe final Componente Ecuador 2012 – Estrategia y Plan de Acción” los cuales se encuentran disponibles en el repositorio ANDA o en el siguiente link: http://anda.inec.gob.ec/anda/index.php/catalog/672/related_materials</w:t>
      </w:r>
    </w:p>
  </w:footnote>
  <w:footnote w:id="10">
    <w:p w14:paraId="060F03C4" w14:textId="091CCD3A" w:rsidR="00BF7001" w:rsidRPr="00317D4E" w:rsidRDefault="00BF7001" w:rsidP="00492810">
      <w:pPr>
        <w:pStyle w:val="Textonotapie"/>
        <w:rPr>
          <w:rFonts w:ascii="Century Gothic" w:hAnsi="Century Gothic"/>
          <w:color w:val="595959" w:themeColor="text1" w:themeTint="A6"/>
          <w:sz w:val="16"/>
          <w:szCs w:val="16"/>
        </w:rPr>
      </w:pPr>
      <w:r w:rsidRPr="00443329">
        <w:rPr>
          <w:rStyle w:val="Refdenotaalpie"/>
          <w:rFonts w:ascii="Century Gothic" w:hAnsi="Century Gothic"/>
        </w:rPr>
        <w:footnoteRef/>
      </w:r>
      <w:r w:rsidRPr="00317D4E">
        <w:rPr>
          <w:rFonts w:ascii="Century Gothic" w:hAnsi="Century Gothic"/>
          <w:sz w:val="16"/>
          <w:szCs w:val="16"/>
        </w:rPr>
        <w:t xml:space="preserve"> </w:t>
      </w:r>
      <w:r w:rsidRPr="00317D4E">
        <w:rPr>
          <w:rFonts w:ascii="Century Gothic" w:hAnsi="Century Gothic"/>
          <w:color w:val="595959" w:themeColor="text1" w:themeTint="A6"/>
          <w:sz w:val="16"/>
          <w:szCs w:val="16"/>
        </w:rPr>
        <w:t>Según</w:t>
      </w:r>
      <w:r>
        <w:rPr>
          <w:rFonts w:ascii="Century Gothic" w:hAnsi="Century Gothic"/>
          <w:color w:val="595959" w:themeColor="text1" w:themeTint="A6"/>
          <w:sz w:val="16"/>
          <w:szCs w:val="16"/>
        </w:rPr>
        <w:t xml:space="preserve"> Wallgren</w:t>
      </w:r>
      <w:r w:rsidRPr="00317D4E">
        <w:rPr>
          <w:rFonts w:ascii="Century Gothic" w:hAnsi="Century Gothic"/>
          <w:color w:val="595959" w:themeColor="text1" w:themeTint="A6"/>
          <w:sz w:val="16"/>
          <w:szCs w:val="16"/>
        </w:rPr>
        <w:t xml:space="preserve"> </w:t>
      </w:r>
      <w:sdt>
        <w:sdtPr>
          <w:rPr>
            <w:rFonts w:ascii="Century Gothic" w:hAnsi="Century Gothic"/>
            <w:color w:val="595959" w:themeColor="text1" w:themeTint="A6"/>
            <w:sz w:val="16"/>
            <w:szCs w:val="16"/>
          </w:rPr>
          <w:id w:val="296417704"/>
          <w:citation/>
        </w:sdtPr>
        <w:sdtEndPr/>
        <w:sdtContent>
          <w:r w:rsidRPr="00317D4E">
            <w:rPr>
              <w:rFonts w:ascii="Century Gothic" w:hAnsi="Century Gothic"/>
              <w:color w:val="595959" w:themeColor="text1" w:themeTint="A6"/>
              <w:sz w:val="16"/>
              <w:szCs w:val="16"/>
            </w:rPr>
            <w:fldChar w:fldCharType="begin"/>
          </w:r>
          <w:r>
            <w:rPr>
              <w:rFonts w:ascii="Century Gothic" w:hAnsi="Century Gothic"/>
              <w:color w:val="595959" w:themeColor="text1" w:themeTint="A6"/>
              <w:sz w:val="16"/>
              <w:szCs w:val="16"/>
            </w:rPr>
            <w:instrText xml:space="preserve">CITATION And12 \n  \t  \l 12298 </w:instrText>
          </w:r>
          <w:r w:rsidRPr="00317D4E">
            <w:rPr>
              <w:rFonts w:ascii="Century Gothic" w:hAnsi="Century Gothic"/>
              <w:color w:val="595959" w:themeColor="text1" w:themeTint="A6"/>
              <w:sz w:val="16"/>
              <w:szCs w:val="16"/>
            </w:rPr>
            <w:fldChar w:fldCharType="separate"/>
          </w:r>
          <w:r w:rsidRPr="009A2E7E">
            <w:rPr>
              <w:rFonts w:ascii="Century Gothic" w:hAnsi="Century Gothic"/>
              <w:noProof/>
              <w:color w:val="595959" w:themeColor="text1" w:themeTint="A6"/>
              <w:sz w:val="16"/>
              <w:szCs w:val="16"/>
            </w:rPr>
            <w:t>(2012)</w:t>
          </w:r>
          <w:r w:rsidRPr="00317D4E">
            <w:rPr>
              <w:rFonts w:ascii="Century Gothic" w:hAnsi="Century Gothic"/>
              <w:color w:val="595959" w:themeColor="text1" w:themeTint="A6"/>
              <w:sz w:val="16"/>
              <w:szCs w:val="16"/>
            </w:rPr>
            <w:fldChar w:fldCharType="end"/>
          </w:r>
        </w:sdtContent>
      </w:sdt>
      <w:r w:rsidRPr="00317D4E">
        <w:rPr>
          <w:rFonts w:ascii="Century Gothic" w:hAnsi="Century Gothic"/>
          <w:color w:val="595959" w:themeColor="text1" w:themeTint="A6"/>
          <w:sz w:val="16"/>
          <w:szCs w:val="16"/>
        </w:rPr>
        <w:t xml:space="preserve"> las características de un registro base son: 1. Define tipos de objeto</w:t>
      </w:r>
      <w:r>
        <w:rPr>
          <w:rFonts w:ascii="Century Gothic" w:hAnsi="Century Gothic"/>
          <w:color w:val="595959" w:themeColor="text1" w:themeTint="A6"/>
          <w:sz w:val="16"/>
          <w:szCs w:val="16"/>
        </w:rPr>
        <w:t>s</w:t>
      </w:r>
      <w:r w:rsidRPr="00317D4E">
        <w:rPr>
          <w:rFonts w:ascii="Century Gothic" w:hAnsi="Century Gothic"/>
          <w:color w:val="595959" w:themeColor="text1" w:themeTint="A6"/>
          <w:sz w:val="16"/>
          <w:szCs w:val="16"/>
        </w:rPr>
        <w:t xml:space="preserve"> importantes. 2. Define conjunto de objetos o poblaciones estandarizadas importantes. 3. Contiene vínculos con objetos de otros registros base. 4. Contiene vínculos con otros registros relacionados con el mismo tipo de objeto. 5. Es importante para el sistema de registros base en su conjunto, por lo que resulta esencial que sea de alta calidad y esté bien documentado.</w:t>
      </w:r>
    </w:p>
  </w:footnote>
  <w:footnote w:id="11">
    <w:p w14:paraId="091016E0" w14:textId="4DEC1687" w:rsidR="00BF7001" w:rsidRDefault="00BF7001" w:rsidP="00492810">
      <w:pPr>
        <w:pStyle w:val="Textonotapie"/>
      </w:pPr>
      <w:r w:rsidRPr="00443329">
        <w:rPr>
          <w:rStyle w:val="Refdenotaalpie"/>
          <w:rFonts w:ascii="Century Gothic" w:hAnsi="Century Gothic"/>
        </w:rPr>
        <w:footnoteRef/>
      </w:r>
      <w:r>
        <w:t xml:space="preserve"> </w:t>
      </w:r>
      <w:r w:rsidRPr="00317D4E">
        <w:rPr>
          <w:rFonts w:ascii="Century Gothic" w:hAnsi="Century Gothic"/>
          <w:color w:val="595959" w:themeColor="text1" w:themeTint="A6"/>
          <w:sz w:val="16"/>
          <w:szCs w:val="16"/>
        </w:rPr>
        <w:t>En Latinoamérica, se encuentra extendido el uso del concepto de establecimiento normalmente para representar lo que según el Sistema de Cuentas Nacionales (SCN) 2008 - y también 93 - corresponde a una unidad local. Dadas las dificultades para obtener la información separada para cada establecimiento según un único código de actividad principal, se consideró posible que las unidades de este directorio fueran unidades locales. (CEPAL, 2013)</w:t>
      </w:r>
    </w:p>
    <w:p w14:paraId="494A4A58" w14:textId="77777777" w:rsidR="00BF7001" w:rsidRDefault="00BF7001" w:rsidP="00492810">
      <w:pPr>
        <w:pStyle w:val="Textonotapie"/>
      </w:pPr>
    </w:p>
  </w:footnote>
  <w:footnote w:id="12">
    <w:p w14:paraId="4212E9EF" w14:textId="77777777" w:rsidR="00BF7001" w:rsidRPr="00317D4E" w:rsidRDefault="00BF7001" w:rsidP="00492810">
      <w:pPr>
        <w:pStyle w:val="Textonotapie"/>
        <w:rPr>
          <w:rFonts w:ascii="Century Gothic" w:hAnsi="Century Gothic"/>
          <w:color w:val="595959" w:themeColor="text1" w:themeTint="A6"/>
          <w:sz w:val="16"/>
        </w:rPr>
      </w:pPr>
      <w:r w:rsidRPr="00443329">
        <w:rPr>
          <w:rStyle w:val="Refdenotaalpie"/>
          <w:rFonts w:ascii="Century Gothic" w:hAnsi="Century Gothic"/>
        </w:rPr>
        <w:footnoteRef/>
      </w:r>
      <w:r w:rsidRPr="00317D4E">
        <w:rPr>
          <w:rStyle w:val="Refdenotaalpie"/>
        </w:rPr>
        <w:t xml:space="preserve"> </w:t>
      </w:r>
      <w:r>
        <w:rPr>
          <w:szCs w:val="16"/>
        </w:rPr>
        <w:t xml:space="preserve"> </w:t>
      </w:r>
      <w:r>
        <w:rPr>
          <w:rFonts w:ascii="Century Gothic" w:hAnsi="Century Gothic"/>
          <w:color w:val="595959" w:themeColor="text1" w:themeTint="A6"/>
          <w:sz w:val="16"/>
        </w:rPr>
        <w:t>En la</w:t>
      </w:r>
      <w:r w:rsidRPr="00317D4E">
        <w:rPr>
          <w:rFonts w:ascii="Century Gothic" w:hAnsi="Century Gothic"/>
          <w:color w:val="595959" w:themeColor="text1" w:themeTint="A6"/>
          <w:sz w:val="16"/>
        </w:rPr>
        <w:t xml:space="preserve"> base de datos no se puede evidenciar el proceso legal por el cual atravesó la empresa ya que la unidad de análisis es la </w:t>
      </w:r>
      <w:r>
        <w:rPr>
          <w:rFonts w:ascii="Century Gothic" w:hAnsi="Century Gothic"/>
          <w:color w:val="595959" w:themeColor="text1" w:themeTint="A6"/>
          <w:sz w:val="16"/>
        </w:rPr>
        <w:t xml:space="preserve">misma </w:t>
      </w:r>
      <w:r w:rsidRPr="00317D4E">
        <w:rPr>
          <w:rFonts w:ascii="Century Gothic" w:hAnsi="Century Gothic"/>
          <w:color w:val="595959" w:themeColor="text1" w:themeTint="A6"/>
          <w:sz w:val="16"/>
        </w:rPr>
        <w:t>unidad económica.</w:t>
      </w:r>
    </w:p>
  </w:footnote>
  <w:footnote w:id="13">
    <w:p w14:paraId="6AA5591A" w14:textId="77777777" w:rsidR="00BF7001" w:rsidRPr="007935BE" w:rsidRDefault="00BF7001" w:rsidP="00492810">
      <w:pPr>
        <w:pStyle w:val="Textonotapie"/>
        <w:rPr>
          <w:rFonts w:ascii="Century Gothic" w:hAnsi="Century Gothic"/>
          <w:color w:val="595959" w:themeColor="text1" w:themeTint="A6"/>
          <w:sz w:val="16"/>
        </w:rPr>
      </w:pPr>
      <w:r w:rsidRPr="00443329">
        <w:rPr>
          <w:rStyle w:val="Refdenotaalpie"/>
          <w:rFonts w:ascii="Century Gothic" w:hAnsi="Century Gothic"/>
          <w:color w:val="595959" w:themeColor="text1" w:themeTint="A6"/>
        </w:rPr>
        <w:footnoteRef/>
      </w:r>
      <w:r>
        <w:rPr>
          <w:rFonts w:ascii="Century Gothic" w:hAnsi="Century Gothic"/>
          <w:color w:val="595959" w:themeColor="text1" w:themeTint="A6"/>
          <w:sz w:val="16"/>
        </w:rPr>
        <w:t xml:space="preserve"> Los clasificadores mencionados se encuentran disponibles en www.ecuadorencifras.gob.ec/</w:t>
      </w:r>
      <w:r w:rsidRPr="005B03EA">
        <w:rPr>
          <w:rFonts w:ascii="Century Gothic" w:hAnsi="Century Gothic"/>
          <w:color w:val="595959" w:themeColor="text1" w:themeTint="A6"/>
          <w:sz w:val="16"/>
        </w:rPr>
        <w:t>clasificador-geografico-estadistico-dpa/</w:t>
      </w:r>
    </w:p>
    <w:p w14:paraId="64582E22" w14:textId="77777777" w:rsidR="00BF7001" w:rsidRPr="007935BE" w:rsidRDefault="00BF7001" w:rsidP="00492810">
      <w:pPr>
        <w:pStyle w:val="Textonotapie"/>
        <w:rPr>
          <w:rFonts w:ascii="Century Gothic" w:hAnsi="Century Gothic"/>
          <w:color w:val="595959" w:themeColor="text1" w:themeTint="A6"/>
          <w:sz w:val="16"/>
        </w:rPr>
      </w:pPr>
    </w:p>
  </w:footnote>
  <w:footnote w:id="14">
    <w:p w14:paraId="25EEB993" w14:textId="77777777" w:rsidR="00BF7001" w:rsidRPr="00317D4E" w:rsidRDefault="00BF7001" w:rsidP="00492810">
      <w:pPr>
        <w:pStyle w:val="Textonotapie"/>
        <w:rPr>
          <w:rFonts w:ascii="Century Gothic" w:hAnsi="Century Gothic"/>
          <w:color w:val="595959" w:themeColor="text1" w:themeTint="A6"/>
          <w:sz w:val="16"/>
        </w:rPr>
      </w:pPr>
      <w:r w:rsidRPr="00761BDE">
        <w:rPr>
          <w:rStyle w:val="Refdenotaalpie"/>
          <w:rFonts w:ascii="Century Gothic" w:hAnsi="Century Gothic"/>
          <w:sz w:val="18"/>
        </w:rPr>
        <w:footnoteRef/>
      </w:r>
      <w:r w:rsidRPr="00761BDE">
        <w:rPr>
          <w:rStyle w:val="Refdenotaalpie"/>
          <w:rFonts w:ascii="Century Gothic" w:hAnsi="Century Gothic"/>
          <w:sz w:val="14"/>
        </w:rPr>
        <w:t xml:space="preserve"> </w:t>
      </w:r>
      <w:r w:rsidRPr="00317D4E">
        <w:rPr>
          <w:rFonts w:ascii="Century Gothic" w:hAnsi="Century Gothic"/>
          <w:color w:val="595959" w:themeColor="text1" w:themeTint="A6"/>
          <w:sz w:val="16"/>
        </w:rPr>
        <w:t>Para determinar esta variable se suma todos los valores por concepto de remuneración que las empresas registran en el Instituto Ecuatoriano de Seguridad Social cuando generan las planillas mensuales para el pago de aportes. Estas se identifican a nivel de plazas de empleo</w:t>
      </w:r>
      <w:r>
        <w:rPr>
          <w:rFonts w:ascii="Century Gothic" w:hAnsi="Century Gothic"/>
          <w:color w:val="595959" w:themeColor="text1" w:themeTint="A6"/>
          <w:sz w:val="16"/>
        </w:rPr>
        <w:t xml:space="preserve"> total, de hombres y mujeres.</w:t>
      </w:r>
    </w:p>
  </w:footnote>
  <w:footnote w:id="15">
    <w:p w14:paraId="52521378" w14:textId="77777777" w:rsidR="00BF7001" w:rsidRPr="007935BE" w:rsidRDefault="00BF7001" w:rsidP="00492810">
      <w:pPr>
        <w:pStyle w:val="Textonotapie"/>
        <w:rPr>
          <w:rFonts w:ascii="Century Gothic" w:hAnsi="Century Gothic"/>
          <w:color w:val="595959" w:themeColor="text1" w:themeTint="A6"/>
          <w:sz w:val="16"/>
          <w:szCs w:val="16"/>
        </w:rPr>
      </w:pPr>
      <w:r w:rsidRPr="00443329">
        <w:rPr>
          <w:rStyle w:val="Refdenotaalpie"/>
          <w:rFonts w:ascii="Century Gothic" w:hAnsi="Century Gothic"/>
          <w:color w:val="595959" w:themeColor="text1" w:themeTint="A6"/>
        </w:rPr>
        <w:footnoteRef/>
      </w:r>
      <w:r w:rsidRPr="007935BE">
        <w:rPr>
          <w:rFonts w:ascii="Century Gothic" w:hAnsi="Century Gothic"/>
          <w:color w:val="595959" w:themeColor="text1" w:themeTint="A6"/>
          <w:sz w:val="16"/>
          <w:szCs w:val="16"/>
        </w:rPr>
        <w:t xml:space="preserve"> </w:t>
      </w:r>
      <w:r w:rsidRPr="007935BE">
        <w:rPr>
          <w:rFonts w:ascii="Century Gothic" w:hAnsi="Century Gothic"/>
          <w:color w:val="595959" w:themeColor="text1" w:themeTint="A6"/>
          <w:spacing w:val="2"/>
          <w:sz w:val="16"/>
          <w:szCs w:val="16"/>
        </w:rPr>
        <w:t>ETL: Siglas en inglés que significan: Extraer, Transformar y Cargar, por ello se dice que un ETL es el proceso que permite mover datos desde múltiples fuentes, limpiarlos y cargarlos en otra base de datos, data mart, o data warehouse para apoyar un proceso de negocio.</w:t>
      </w:r>
    </w:p>
  </w:footnote>
  <w:footnote w:id="16">
    <w:p w14:paraId="31C1BEFB" w14:textId="77777777" w:rsidR="00BF7001" w:rsidRPr="00F3520A" w:rsidRDefault="00BF7001" w:rsidP="00492810">
      <w:pPr>
        <w:pStyle w:val="Sinespaciado"/>
        <w:spacing w:line="276" w:lineRule="auto"/>
        <w:jc w:val="both"/>
        <w:rPr>
          <w:rFonts w:ascii="Century Gothic" w:hAnsi="Century Gothic"/>
          <w:color w:val="595959" w:themeColor="text1" w:themeTint="A6"/>
          <w:sz w:val="20"/>
          <w:lang w:eastAsia="es-EC"/>
        </w:rPr>
      </w:pPr>
      <w:r w:rsidRPr="00443329">
        <w:rPr>
          <w:rStyle w:val="Refdenotaalpie"/>
          <w:rFonts w:ascii="Century Gothic" w:hAnsi="Century Gothic"/>
          <w:color w:val="595959" w:themeColor="text1" w:themeTint="A6"/>
        </w:rPr>
        <w:footnoteRef/>
      </w:r>
      <w:r>
        <w:t xml:space="preserve"> </w:t>
      </w:r>
      <w:r w:rsidRPr="00057405">
        <w:rPr>
          <w:rFonts w:ascii="Century Gothic" w:hAnsi="Century Gothic"/>
          <w:color w:val="595959" w:themeColor="text1" w:themeTint="A6"/>
          <w:spacing w:val="2"/>
          <w:sz w:val="16"/>
          <w:szCs w:val="16"/>
        </w:rPr>
        <w:t>No se incluye en el DIEE el sector voluntario, empleador doméstico y organizaciones campesinas.</w:t>
      </w:r>
    </w:p>
    <w:p w14:paraId="70C87B99" w14:textId="77777777" w:rsidR="00BF7001" w:rsidRPr="009A34B2" w:rsidRDefault="00BF7001" w:rsidP="00492810">
      <w:pPr>
        <w:pStyle w:val="Textonotapie"/>
        <w:rPr>
          <w:color w:val="595959" w:themeColor="text1" w:themeTint="A6"/>
        </w:rPr>
      </w:pPr>
    </w:p>
  </w:footnote>
  <w:footnote w:id="17">
    <w:p w14:paraId="563A834F" w14:textId="2E4BFA68" w:rsidR="00BF7001" w:rsidRPr="009A34B2" w:rsidRDefault="00BF7001" w:rsidP="00492810">
      <w:pPr>
        <w:pStyle w:val="Textonotapie"/>
        <w:rPr>
          <w:rFonts w:ascii="Century Gothic" w:hAnsi="Century Gothic"/>
          <w:color w:val="595959" w:themeColor="text1" w:themeTint="A6"/>
          <w:spacing w:val="2"/>
          <w:sz w:val="16"/>
          <w:szCs w:val="16"/>
        </w:rPr>
      </w:pPr>
      <w:r w:rsidRPr="009A34B2">
        <w:rPr>
          <w:rFonts w:ascii="Century Gothic" w:hAnsi="Century Gothic"/>
          <w:color w:val="595959" w:themeColor="text1" w:themeTint="A6"/>
          <w:spacing w:val="2"/>
          <w:sz w:val="16"/>
          <w:szCs w:val="16"/>
        </w:rPr>
        <w:footnoteRef/>
      </w:r>
      <w:r w:rsidRPr="009A34B2">
        <w:rPr>
          <w:rFonts w:ascii="Century Gothic" w:hAnsi="Century Gothic"/>
          <w:color w:val="595959" w:themeColor="text1" w:themeTint="A6"/>
          <w:spacing w:val="2"/>
          <w:sz w:val="16"/>
          <w:szCs w:val="16"/>
        </w:rPr>
        <w:t xml:space="preserve"> La variable “rangos de edad” se calcula para las empresas cuya información</w:t>
      </w:r>
      <w:r>
        <w:rPr>
          <w:rFonts w:ascii="Century Gothic" w:hAnsi="Century Gothic"/>
          <w:color w:val="595959" w:themeColor="text1" w:themeTint="A6"/>
          <w:spacing w:val="2"/>
          <w:sz w:val="16"/>
          <w:szCs w:val="16"/>
        </w:rPr>
        <w:t xml:space="preserve"> de edad</w:t>
      </w:r>
      <w:r w:rsidRPr="009A34B2">
        <w:rPr>
          <w:rFonts w:ascii="Century Gothic" w:hAnsi="Century Gothic"/>
          <w:color w:val="595959" w:themeColor="text1" w:themeTint="A6"/>
          <w:spacing w:val="2"/>
          <w:sz w:val="16"/>
          <w:szCs w:val="16"/>
        </w:rPr>
        <w:t xml:space="preserve"> de</w:t>
      </w:r>
      <w:r>
        <w:rPr>
          <w:rFonts w:ascii="Century Gothic" w:hAnsi="Century Gothic"/>
          <w:color w:val="595959" w:themeColor="text1" w:themeTint="A6"/>
          <w:spacing w:val="2"/>
          <w:sz w:val="16"/>
          <w:szCs w:val="16"/>
        </w:rPr>
        <w:t>l</w:t>
      </w:r>
      <w:r w:rsidRPr="009A34B2">
        <w:rPr>
          <w:rFonts w:ascii="Century Gothic" w:hAnsi="Century Gothic"/>
          <w:color w:val="595959" w:themeColor="text1" w:themeTint="A6"/>
          <w:spacing w:val="2"/>
          <w:sz w:val="16"/>
          <w:szCs w:val="16"/>
        </w:rPr>
        <w:t xml:space="preserve"> afiliado se encuentra disponible en el registro del IESS. Para las instituciones educativas y direcciones distritales no se calculan rangos de edad debido a que el registro del Ministerio de Educación no proporciona información de edad de sus empleados (docentes y administrativos)</w:t>
      </w:r>
      <w:r>
        <w:rPr>
          <w:rFonts w:ascii="Century Gothic" w:hAnsi="Century Gothic"/>
          <w:color w:val="595959" w:themeColor="text1" w:themeTint="A6"/>
          <w:spacing w:val="2"/>
          <w:sz w:val="16"/>
          <w:szCs w:val="16"/>
        </w:rPr>
        <w:t>;</w:t>
      </w:r>
      <w:r w:rsidRPr="009A34B2">
        <w:rPr>
          <w:rFonts w:ascii="Century Gothic" w:hAnsi="Century Gothic"/>
          <w:color w:val="595959" w:themeColor="text1" w:themeTint="A6"/>
          <w:spacing w:val="2"/>
          <w:sz w:val="16"/>
          <w:szCs w:val="16"/>
        </w:rPr>
        <w:t xml:space="preserve"> en cuanto a las direcciones distritales por el ajuste que se realiza en plazas de empleo registrado y remuneraciones no es posible contar con esta información.</w:t>
      </w:r>
    </w:p>
  </w:footnote>
  <w:footnote w:id="18">
    <w:p w14:paraId="64F9091C" w14:textId="243807C2" w:rsidR="00BF7001" w:rsidRDefault="00BF7001">
      <w:pPr>
        <w:pStyle w:val="Textonotapie"/>
      </w:pPr>
      <w:r w:rsidRPr="00781227">
        <w:rPr>
          <w:rStyle w:val="Refdenotaalpie"/>
          <w:color w:val="595959" w:themeColor="text1" w:themeTint="A6"/>
          <w:sz w:val="18"/>
          <w:szCs w:val="18"/>
        </w:rPr>
        <w:footnoteRef/>
      </w:r>
      <w:r>
        <w:t xml:space="preserve"> </w:t>
      </w:r>
      <w:r w:rsidRPr="00781227">
        <w:rPr>
          <w:rFonts w:ascii="Century Gothic" w:hAnsi="Century Gothic"/>
          <w:color w:val="595959" w:themeColor="text1" w:themeTint="A6"/>
          <w:spacing w:val="2"/>
          <w:sz w:val="16"/>
          <w:szCs w:val="16"/>
        </w:rPr>
        <w:t>El convenio interinstitucional con el SRI culminó en el mes de marzo del año 2022.</w:t>
      </w:r>
    </w:p>
  </w:footnote>
  <w:footnote w:id="19">
    <w:p w14:paraId="1DCC48BD" w14:textId="77777777" w:rsidR="00BF7001" w:rsidRPr="007935BE" w:rsidRDefault="00BF7001" w:rsidP="00492810">
      <w:pPr>
        <w:pStyle w:val="Textonotapie"/>
        <w:rPr>
          <w:rFonts w:ascii="Century Gothic" w:hAnsi="Century Gothic"/>
          <w:color w:val="595959" w:themeColor="text1" w:themeTint="A6"/>
          <w:sz w:val="16"/>
        </w:rPr>
      </w:pPr>
      <w:r w:rsidRPr="00443329">
        <w:rPr>
          <w:rStyle w:val="Refdenotaalpie"/>
          <w:rFonts w:ascii="Century Gothic" w:hAnsi="Century Gothic"/>
          <w:color w:val="595959" w:themeColor="text1" w:themeTint="A6"/>
        </w:rPr>
        <w:footnoteRef/>
      </w:r>
      <w:r w:rsidRPr="00057405">
        <w:rPr>
          <w:rStyle w:val="Refdenotaalpie"/>
        </w:rPr>
        <w:t xml:space="preserve"> </w:t>
      </w:r>
      <w:r w:rsidRPr="00057405">
        <w:rPr>
          <w:rFonts w:ascii="Century Gothic" w:hAnsi="Century Gothic"/>
          <w:color w:val="595959" w:themeColor="text1" w:themeTint="A6"/>
          <w:sz w:val="16"/>
          <w:szCs w:val="22"/>
          <w:lang w:eastAsia="es-EC"/>
        </w:rPr>
        <w:t>La fuente de actualización se identifica según la procedencia de novedades resultantes de la revisión, análisis y validación de información, además de las fuentes primarias (SRI, IESS, Ministerio de Educación).</w:t>
      </w:r>
    </w:p>
  </w:footnote>
  <w:footnote w:id="20">
    <w:p w14:paraId="410F48BC" w14:textId="77777777" w:rsidR="00BF7001" w:rsidRDefault="00BF7001" w:rsidP="00492810">
      <w:pPr>
        <w:pStyle w:val="Textonotapie"/>
      </w:pPr>
      <w:r w:rsidRPr="00443329">
        <w:rPr>
          <w:rStyle w:val="Refdenotaalpie"/>
          <w:rFonts w:ascii="Century Gothic" w:hAnsi="Century Gothic"/>
          <w:color w:val="595959" w:themeColor="text1" w:themeTint="A6"/>
        </w:rPr>
        <w:footnoteRef/>
      </w:r>
      <w:r w:rsidRPr="00057405">
        <w:rPr>
          <w:rFonts w:ascii="Century Gothic" w:hAnsi="Century Gothic"/>
        </w:rPr>
        <w:t xml:space="preserve"> </w:t>
      </w:r>
      <w:r w:rsidRPr="003A7EFA">
        <w:rPr>
          <w:rFonts w:ascii="Century Gothic" w:hAnsi="Century Gothic"/>
          <w:color w:val="595959" w:themeColor="text1" w:themeTint="A6"/>
          <w:sz w:val="16"/>
          <w:szCs w:val="22"/>
          <w:lang w:eastAsia="es-EC"/>
        </w:rPr>
        <w:t>Se realizan llamadas a las empresas para verificar la información que se tiene de las fuentes que proporcionan los datos primarios. Este proceso no se efectúa sobre todas las empresas sino una pequeña muestra.</w:t>
      </w:r>
    </w:p>
  </w:footnote>
  <w:footnote w:id="21">
    <w:p w14:paraId="0266387B" w14:textId="77777777" w:rsidR="00BF7001" w:rsidRPr="00057405" w:rsidRDefault="00BF7001" w:rsidP="00492810">
      <w:pPr>
        <w:pStyle w:val="Textonotapie"/>
        <w:rPr>
          <w:sz w:val="18"/>
        </w:rPr>
      </w:pPr>
      <w:r w:rsidRPr="00443329">
        <w:rPr>
          <w:rStyle w:val="Refdenotaalpie"/>
          <w:rFonts w:ascii="Century Gothic" w:hAnsi="Century Gothic"/>
          <w:color w:val="595959" w:themeColor="text1" w:themeTint="A6"/>
        </w:rPr>
        <w:footnoteRef/>
      </w:r>
      <w:r>
        <w:t xml:space="preserve"> </w:t>
      </w:r>
      <w:r w:rsidRPr="00057405">
        <w:rPr>
          <w:rFonts w:ascii="Century Gothic" w:hAnsi="Century Gothic" w:cs="Arial"/>
          <w:color w:val="595959" w:themeColor="text1" w:themeTint="A6"/>
          <w:sz w:val="16"/>
          <w:szCs w:val="22"/>
          <w:lang w:eastAsia="es-EC"/>
        </w:rPr>
        <w:t>Una vez se cuenta con una base de datos preliminar se procese a realizar análisis descriptivos, comparativos y económicos para verificar que la información que se está obtienen manifieste la realidad de la economía del país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36298" w14:textId="21C9C123" w:rsidR="00BF7001" w:rsidRDefault="00BF7001">
    <w:pPr>
      <w:pStyle w:val="Encabezado"/>
    </w:pPr>
    <w:r>
      <w:rPr>
        <w:noProof/>
        <w:lang w:eastAsia="es-EC"/>
      </w:rPr>
      <w:drawing>
        <wp:anchor distT="0" distB="0" distL="114300" distR="114300" simplePos="0" relativeHeight="251659264" behindDoc="1" locked="0" layoutInCell="1" allowOverlap="1" wp14:anchorId="625CA6BE" wp14:editId="7447575C">
          <wp:simplePos x="0" y="0"/>
          <wp:positionH relativeFrom="column">
            <wp:posOffset>-1058870</wp:posOffset>
          </wp:positionH>
          <wp:positionV relativeFrom="paragraph">
            <wp:posOffset>-407051</wp:posOffset>
          </wp:positionV>
          <wp:extent cx="7474688" cy="10643191"/>
          <wp:effectExtent l="0" t="0" r="0" b="0"/>
          <wp:wrapNone/>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73242" cy="1064113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015B6D" w14:textId="3CFE79EA" w:rsidR="00BF7001" w:rsidRDefault="00BF7001" w:rsidP="00E21D4E">
    <w:pPr>
      <w:pStyle w:val="Encabezado"/>
      <w:tabs>
        <w:tab w:val="clear" w:pos="4419"/>
        <w:tab w:val="clear" w:pos="8838"/>
        <w:tab w:val="right" w:pos="8498"/>
      </w:tabs>
    </w:pPr>
    <w:r>
      <w:rPr>
        <w:noProof/>
        <w:lang w:eastAsia="es-EC"/>
      </w:rPr>
      <w:drawing>
        <wp:anchor distT="0" distB="0" distL="114300" distR="114300" simplePos="0" relativeHeight="251658240" behindDoc="1" locked="0" layoutInCell="1" allowOverlap="1" wp14:anchorId="19E23533" wp14:editId="161FB208">
          <wp:simplePos x="0" y="0"/>
          <wp:positionH relativeFrom="column">
            <wp:posOffset>-1069378</wp:posOffset>
          </wp:positionH>
          <wp:positionV relativeFrom="paragraph">
            <wp:posOffset>-438822</wp:posOffset>
          </wp:positionV>
          <wp:extent cx="7540923" cy="10671586"/>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tretch>
                    <a:fillRect/>
                  </a:stretch>
                </pic:blipFill>
                <pic:spPr>
                  <a:xfrm>
                    <a:off x="0" y="0"/>
                    <a:ext cx="7549553" cy="10683799"/>
                  </a:xfrm>
                  <a:prstGeom prst="rect">
                    <a:avLst/>
                  </a:prstGeom>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3AF3"/>
    <w:multiLevelType w:val="hybridMultilevel"/>
    <w:tmpl w:val="F9C457DC"/>
    <w:lvl w:ilvl="0" w:tplc="300A0017">
      <w:start w:val="1"/>
      <w:numFmt w:val="lowerLetter"/>
      <w:lvlText w:val="%1)"/>
      <w:lvlJc w:val="left"/>
      <w:pPr>
        <w:ind w:left="720" w:hanging="360"/>
      </w:pPr>
    </w:lvl>
    <w:lvl w:ilvl="1" w:tplc="E5AA71B2">
      <w:start w:val="3"/>
      <w:numFmt w:val="bullet"/>
      <w:lvlText w:val="•"/>
      <w:lvlJc w:val="left"/>
      <w:pPr>
        <w:ind w:left="1785" w:hanging="705"/>
      </w:pPr>
      <w:rPr>
        <w:rFonts w:ascii="Century Gothic" w:eastAsiaTheme="minorHAnsi" w:hAnsi="Century Gothic" w:cstheme="minorBidi" w:hint="default"/>
      </w:r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15:restartNumberingAfterBreak="0">
    <w:nsid w:val="017A4EC9"/>
    <w:multiLevelType w:val="hybridMultilevel"/>
    <w:tmpl w:val="90963346"/>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2" w15:restartNumberingAfterBreak="0">
    <w:nsid w:val="0518140E"/>
    <w:multiLevelType w:val="hybridMultilevel"/>
    <w:tmpl w:val="3EDCC92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0F6E24FE"/>
    <w:multiLevelType w:val="hybridMultilevel"/>
    <w:tmpl w:val="9F842E4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15:restartNumberingAfterBreak="0">
    <w:nsid w:val="1B0F3C5A"/>
    <w:multiLevelType w:val="hybridMultilevel"/>
    <w:tmpl w:val="18B2AAB6"/>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15:restartNumberingAfterBreak="0">
    <w:nsid w:val="205B6ABC"/>
    <w:multiLevelType w:val="hybridMultilevel"/>
    <w:tmpl w:val="D9F8AF5E"/>
    <w:lvl w:ilvl="0" w:tplc="AD04EEB6">
      <w:numFmt w:val="bullet"/>
      <w:lvlText w:val="•"/>
      <w:lvlJc w:val="left"/>
      <w:pPr>
        <w:ind w:left="720" w:hanging="360"/>
      </w:pPr>
      <w:rPr>
        <w:rFonts w:ascii="Century Gothic" w:eastAsiaTheme="minorHAnsi" w:hAnsi="Century Gothic" w:cstheme="minorBidi" w:hint="default"/>
      </w:rPr>
    </w:lvl>
    <w:lvl w:ilvl="1" w:tplc="E5AA71B2">
      <w:start w:val="3"/>
      <w:numFmt w:val="bullet"/>
      <w:lvlText w:val="•"/>
      <w:lvlJc w:val="left"/>
      <w:pPr>
        <w:ind w:left="1785" w:hanging="705"/>
      </w:pPr>
      <w:rPr>
        <w:rFonts w:ascii="Century Gothic" w:eastAsiaTheme="minorHAnsi" w:hAnsi="Century Gothic" w:cstheme="minorBidi" w:hint="default"/>
      </w:r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15:restartNumberingAfterBreak="0">
    <w:nsid w:val="206A3187"/>
    <w:multiLevelType w:val="hybridMultilevel"/>
    <w:tmpl w:val="82265816"/>
    <w:lvl w:ilvl="0" w:tplc="B11C129E">
      <w:start w:val="1"/>
      <w:numFmt w:val="decimal"/>
      <w:lvlText w:val="%1."/>
      <w:lvlJc w:val="left"/>
      <w:pPr>
        <w:ind w:left="1065" w:hanging="705"/>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15:restartNumberingAfterBreak="0">
    <w:nsid w:val="21585612"/>
    <w:multiLevelType w:val="hybridMultilevel"/>
    <w:tmpl w:val="6BE840F0"/>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15:restartNumberingAfterBreak="0">
    <w:nsid w:val="25C12362"/>
    <w:multiLevelType w:val="hybridMultilevel"/>
    <w:tmpl w:val="194CC818"/>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9" w15:restartNumberingAfterBreak="0">
    <w:nsid w:val="294506A2"/>
    <w:multiLevelType w:val="hybridMultilevel"/>
    <w:tmpl w:val="372286C8"/>
    <w:lvl w:ilvl="0" w:tplc="2668F18C">
      <w:start w:val="1"/>
      <w:numFmt w:val="bullet"/>
      <w:lvlText w:val=""/>
      <w:lvlJc w:val="left"/>
      <w:pPr>
        <w:ind w:left="720" w:hanging="360"/>
      </w:pPr>
      <w:rPr>
        <w:rFonts w:ascii="Symbol" w:hAnsi="Symbol" w:hint="default"/>
        <w:sz w:val="18"/>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298D3D88"/>
    <w:multiLevelType w:val="hybridMultilevel"/>
    <w:tmpl w:val="9434F418"/>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1" w15:restartNumberingAfterBreak="0">
    <w:nsid w:val="32E24377"/>
    <w:multiLevelType w:val="hybridMultilevel"/>
    <w:tmpl w:val="FEB277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6284C87"/>
    <w:multiLevelType w:val="hybridMultilevel"/>
    <w:tmpl w:val="2BF24F9C"/>
    <w:lvl w:ilvl="0" w:tplc="0C0A0017">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410932CF"/>
    <w:multiLevelType w:val="multilevel"/>
    <w:tmpl w:val="931882C8"/>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4" w15:restartNumberingAfterBreak="0">
    <w:nsid w:val="4CC847DE"/>
    <w:multiLevelType w:val="hybridMultilevel"/>
    <w:tmpl w:val="18C8FF6C"/>
    <w:lvl w:ilvl="0" w:tplc="9374738C">
      <w:start w:val="1"/>
      <w:numFmt w:val="bullet"/>
      <w:lvlText w:val=""/>
      <w:lvlJc w:val="left"/>
      <w:pPr>
        <w:ind w:left="360" w:hanging="360"/>
      </w:pPr>
      <w:rPr>
        <w:rFonts w:ascii="Symbol" w:hAnsi="Symbol" w:hint="default"/>
        <w:sz w:val="18"/>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5" w15:restartNumberingAfterBreak="0">
    <w:nsid w:val="528165C1"/>
    <w:multiLevelType w:val="hybridMultilevel"/>
    <w:tmpl w:val="BCC214EC"/>
    <w:lvl w:ilvl="0" w:tplc="300A0001">
      <w:start w:val="1"/>
      <w:numFmt w:val="bullet"/>
      <w:lvlText w:val=""/>
      <w:lvlJc w:val="left"/>
      <w:pPr>
        <w:ind w:left="2010" w:hanging="360"/>
      </w:pPr>
      <w:rPr>
        <w:rFonts w:ascii="Symbol" w:hAnsi="Symbol" w:hint="default"/>
      </w:rPr>
    </w:lvl>
    <w:lvl w:ilvl="1" w:tplc="300A0003" w:tentative="1">
      <w:start w:val="1"/>
      <w:numFmt w:val="bullet"/>
      <w:lvlText w:val="o"/>
      <w:lvlJc w:val="left"/>
      <w:pPr>
        <w:ind w:left="2730" w:hanging="360"/>
      </w:pPr>
      <w:rPr>
        <w:rFonts w:ascii="Courier New" w:hAnsi="Courier New" w:cs="Courier New" w:hint="default"/>
      </w:rPr>
    </w:lvl>
    <w:lvl w:ilvl="2" w:tplc="300A0005" w:tentative="1">
      <w:start w:val="1"/>
      <w:numFmt w:val="bullet"/>
      <w:lvlText w:val=""/>
      <w:lvlJc w:val="left"/>
      <w:pPr>
        <w:ind w:left="3450" w:hanging="360"/>
      </w:pPr>
      <w:rPr>
        <w:rFonts w:ascii="Wingdings" w:hAnsi="Wingdings" w:hint="default"/>
      </w:rPr>
    </w:lvl>
    <w:lvl w:ilvl="3" w:tplc="300A0001" w:tentative="1">
      <w:start w:val="1"/>
      <w:numFmt w:val="bullet"/>
      <w:lvlText w:val=""/>
      <w:lvlJc w:val="left"/>
      <w:pPr>
        <w:ind w:left="4170" w:hanging="360"/>
      </w:pPr>
      <w:rPr>
        <w:rFonts w:ascii="Symbol" w:hAnsi="Symbol" w:hint="default"/>
      </w:rPr>
    </w:lvl>
    <w:lvl w:ilvl="4" w:tplc="300A0003" w:tentative="1">
      <w:start w:val="1"/>
      <w:numFmt w:val="bullet"/>
      <w:lvlText w:val="o"/>
      <w:lvlJc w:val="left"/>
      <w:pPr>
        <w:ind w:left="4890" w:hanging="360"/>
      </w:pPr>
      <w:rPr>
        <w:rFonts w:ascii="Courier New" w:hAnsi="Courier New" w:cs="Courier New" w:hint="default"/>
      </w:rPr>
    </w:lvl>
    <w:lvl w:ilvl="5" w:tplc="300A0005" w:tentative="1">
      <w:start w:val="1"/>
      <w:numFmt w:val="bullet"/>
      <w:lvlText w:val=""/>
      <w:lvlJc w:val="left"/>
      <w:pPr>
        <w:ind w:left="5610" w:hanging="360"/>
      </w:pPr>
      <w:rPr>
        <w:rFonts w:ascii="Wingdings" w:hAnsi="Wingdings" w:hint="default"/>
      </w:rPr>
    </w:lvl>
    <w:lvl w:ilvl="6" w:tplc="300A0001" w:tentative="1">
      <w:start w:val="1"/>
      <w:numFmt w:val="bullet"/>
      <w:lvlText w:val=""/>
      <w:lvlJc w:val="left"/>
      <w:pPr>
        <w:ind w:left="6330" w:hanging="360"/>
      </w:pPr>
      <w:rPr>
        <w:rFonts w:ascii="Symbol" w:hAnsi="Symbol" w:hint="default"/>
      </w:rPr>
    </w:lvl>
    <w:lvl w:ilvl="7" w:tplc="300A0003" w:tentative="1">
      <w:start w:val="1"/>
      <w:numFmt w:val="bullet"/>
      <w:lvlText w:val="o"/>
      <w:lvlJc w:val="left"/>
      <w:pPr>
        <w:ind w:left="7050" w:hanging="360"/>
      </w:pPr>
      <w:rPr>
        <w:rFonts w:ascii="Courier New" w:hAnsi="Courier New" w:cs="Courier New" w:hint="default"/>
      </w:rPr>
    </w:lvl>
    <w:lvl w:ilvl="8" w:tplc="300A0005" w:tentative="1">
      <w:start w:val="1"/>
      <w:numFmt w:val="bullet"/>
      <w:lvlText w:val=""/>
      <w:lvlJc w:val="left"/>
      <w:pPr>
        <w:ind w:left="7770" w:hanging="360"/>
      </w:pPr>
      <w:rPr>
        <w:rFonts w:ascii="Wingdings" w:hAnsi="Wingdings" w:hint="default"/>
      </w:rPr>
    </w:lvl>
  </w:abstractNum>
  <w:abstractNum w:abstractNumId="16" w15:restartNumberingAfterBreak="0">
    <w:nsid w:val="52DB6F61"/>
    <w:multiLevelType w:val="hybridMultilevel"/>
    <w:tmpl w:val="3200811A"/>
    <w:lvl w:ilvl="0" w:tplc="212CF8EC">
      <w:start w:val="100"/>
      <w:numFmt w:val="bullet"/>
      <w:lvlText w:val="-"/>
      <w:lvlJc w:val="left"/>
      <w:pPr>
        <w:ind w:left="720" w:hanging="360"/>
      </w:pPr>
      <w:rPr>
        <w:rFonts w:ascii="Century Gothic" w:eastAsiaTheme="minorHAnsi" w:hAnsi="Century Gothic"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2C51A3"/>
    <w:multiLevelType w:val="multilevel"/>
    <w:tmpl w:val="89AAD75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800" w:hanging="1440"/>
      </w:pPr>
      <w:rPr>
        <w:rFonts w:hint="default"/>
      </w:rPr>
    </w:lvl>
    <w:lvl w:ilvl="3">
      <w:start w:val="1"/>
      <w:numFmt w:val="decimal"/>
      <w:isLgl/>
      <w:lvlText w:val="%1.%2.%3.%4"/>
      <w:lvlJc w:val="left"/>
      <w:pPr>
        <w:ind w:left="2160" w:hanging="1800"/>
      </w:pPr>
      <w:rPr>
        <w:rFonts w:hint="default"/>
      </w:rPr>
    </w:lvl>
    <w:lvl w:ilvl="4">
      <w:start w:val="1"/>
      <w:numFmt w:val="decimal"/>
      <w:isLgl/>
      <w:lvlText w:val="%1.%2.%3.%4.%5"/>
      <w:lvlJc w:val="left"/>
      <w:pPr>
        <w:ind w:left="2520" w:hanging="2160"/>
      </w:pPr>
      <w:rPr>
        <w:rFonts w:hint="default"/>
      </w:rPr>
    </w:lvl>
    <w:lvl w:ilvl="5">
      <w:start w:val="1"/>
      <w:numFmt w:val="decimal"/>
      <w:isLgl/>
      <w:lvlText w:val="%1.%2.%3.%4.%5.%6"/>
      <w:lvlJc w:val="left"/>
      <w:pPr>
        <w:ind w:left="2880" w:hanging="2520"/>
      </w:pPr>
      <w:rPr>
        <w:rFonts w:hint="default"/>
      </w:rPr>
    </w:lvl>
    <w:lvl w:ilvl="6">
      <w:start w:val="1"/>
      <w:numFmt w:val="decimal"/>
      <w:isLgl/>
      <w:lvlText w:val="%1.%2.%3.%4.%5.%6.%7"/>
      <w:lvlJc w:val="left"/>
      <w:pPr>
        <w:ind w:left="3240" w:hanging="2880"/>
      </w:pPr>
      <w:rPr>
        <w:rFonts w:hint="default"/>
      </w:rPr>
    </w:lvl>
    <w:lvl w:ilvl="7">
      <w:start w:val="1"/>
      <w:numFmt w:val="decimal"/>
      <w:isLgl/>
      <w:lvlText w:val="%1.%2.%3.%4.%5.%6.%7.%8"/>
      <w:lvlJc w:val="left"/>
      <w:pPr>
        <w:ind w:left="3960" w:hanging="3600"/>
      </w:pPr>
      <w:rPr>
        <w:rFonts w:hint="default"/>
      </w:rPr>
    </w:lvl>
    <w:lvl w:ilvl="8">
      <w:start w:val="1"/>
      <w:numFmt w:val="decimal"/>
      <w:isLgl/>
      <w:lvlText w:val="%1.%2.%3.%4.%5.%6.%7.%8.%9"/>
      <w:lvlJc w:val="left"/>
      <w:pPr>
        <w:ind w:left="4320" w:hanging="3960"/>
      </w:pPr>
      <w:rPr>
        <w:rFonts w:hint="default"/>
      </w:rPr>
    </w:lvl>
  </w:abstractNum>
  <w:abstractNum w:abstractNumId="18" w15:restartNumberingAfterBreak="0">
    <w:nsid w:val="572278F9"/>
    <w:multiLevelType w:val="hybridMultilevel"/>
    <w:tmpl w:val="62BAE1BE"/>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9" w15:restartNumberingAfterBreak="0">
    <w:nsid w:val="59891808"/>
    <w:multiLevelType w:val="hybridMultilevel"/>
    <w:tmpl w:val="1F24E79A"/>
    <w:lvl w:ilvl="0" w:tplc="F29AA240">
      <w:numFmt w:val="bullet"/>
      <w:lvlText w:val="•"/>
      <w:lvlJc w:val="left"/>
      <w:pPr>
        <w:ind w:left="996" w:hanging="570"/>
      </w:pPr>
      <w:rPr>
        <w:rFonts w:ascii="Century Gothic" w:eastAsiaTheme="minorHAnsi" w:hAnsi="Century Gothic"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5A8263BD"/>
    <w:multiLevelType w:val="hybridMultilevel"/>
    <w:tmpl w:val="2D8845F2"/>
    <w:lvl w:ilvl="0" w:tplc="0C0A0017">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21" w15:restartNumberingAfterBreak="0">
    <w:nsid w:val="5AB64AB2"/>
    <w:multiLevelType w:val="hybridMultilevel"/>
    <w:tmpl w:val="9BF0AB72"/>
    <w:lvl w:ilvl="0" w:tplc="300A0001">
      <w:start w:val="1"/>
      <w:numFmt w:val="bullet"/>
      <w:lvlText w:val=""/>
      <w:lvlJc w:val="left"/>
      <w:pPr>
        <w:ind w:left="720" w:hanging="360"/>
      </w:pPr>
      <w:rPr>
        <w:rFonts w:ascii="Symbol" w:hAnsi="Symbol" w:hint="default"/>
      </w:rPr>
    </w:lvl>
    <w:lvl w:ilvl="1" w:tplc="BDF4E30C">
      <w:numFmt w:val="bullet"/>
      <w:lvlText w:val="•"/>
      <w:lvlJc w:val="left"/>
      <w:pPr>
        <w:ind w:left="1650" w:hanging="570"/>
      </w:pPr>
      <w:rPr>
        <w:rFonts w:ascii="Century Gothic" w:eastAsiaTheme="minorHAnsi" w:hAnsi="Century Gothic" w:cstheme="minorBidi"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5D8A4452"/>
    <w:multiLevelType w:val="hybridMultilevel"/>
    <w:tmpl w:val="8B5CC240"/>
    <w:lvl w:ilvl="0" w:tplc="AD04EEB6">
      <w:numFmt w:val="bullet"/>
      <w:lvlText w:val="•"/>
      <w:lvlJc w:val="left"/>
      <w:pPr>
        <w:ind w:left="720" w:hanging="360"/>
      </w:pPr>
      <w:rPr>
        <w:rFonts w:ascii="Century Gothic" w:eastAsiaTheme="minorHAnsi" w:hAnsi="Century Gothic"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5DE90B35"/>
    <w:multiLevelType w:val="hybridMultilevel"/>
    <w:tmpl w:val="525AD322"/>
    <w:lvl w:ilvl="0" w:tplc="300A0001">
      <w:start w:val="1"/>
      <w:numFmt w:val="bullet"/>
      <w:lvlText w:val=""/>
      <w:lvlJc w:val="left"/>
      <w:pPr>
        <w:ind w:left="720" w:hanging="360"/>
      </w:pPr>
      <w:rPr>
        <w:rFonts w:ascii="Symbol" w:hAnsi="Symbol" w:hint="default"/>
      </w:rPr>
    </w:lvl>
    <w:lvl w:ilvl="1" w:tplc="E5AA71B2">
      <w:start w:val="3"/>
      <w:numFmt w:val="bullet"/>
      <w:lvlText w:val="•"/>
      <w:lvlJc w:val="left"/>
      <w:pPr>
        <w:ind w:left="1785" w:hanging="705"/>
      </w:pPr>
      <w:rPr>
        <w:rFonts w:ascii="Century Gothic" w:eastAsiaTheme="minorHAnsi" w:hAnsi="Century Gothic" w:cstheme="minorBidi" w:hint="default"/>
      </w:r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15:restartNumberingAfterBreak="0">
    <w:nsid w:val="5F9E69DF"/>
    <w:multiLevelType w:val="hybridMultilevel"/>
    <w:tmpl w:val="B442E33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635337E3"/>
    <w:multiLevelType w:val="hybridMultilevel"/>
    <w:tmpl w:val="50124A3C"/>
    <w:lvl w:ilvl="0" w:tplc="AD04EEB6">
      <w:numFmt w:val="bullet"/>
      <w:lvlText w:val="•"/>
      <w:lvlJc w:val="left"/>
      <w:pPr>
        <w:ind w:left="1065" w:hanging="705"/>
      </w:pPr>
      <w:rPr>
        <w:rFonts w:ascii="Century Gothic" w:eastAsiaTheme="minorHAnsi" w:hAnsi="Century Gothic"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658852EB"/>
    <w:multiLevelType w:val="hybridMultilevel"/>
    <w:tmpl w:val="81B2FD6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5D97B3C"/>
    <w:multiLevelType w:val="hybridMultilevel"/>
    <w:tmpl w:val="A6B86058"/>
    <w:lvl w:ilvl="0" w:tplc="0C0A000F">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8" w15:restartNumberingAfterBreak="0">
    <w:nsid w:val="66632D25"/>
    <w:multiLevelType w:val="hybridMultilevel"/>
    <w:tmpl w:val="4AEE0F5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9" w15:restartNumberingAfterBreak="0">
    <w:nsid w:val="67377A65"/>
    <w:multiLevelType w:val="hybridMultilevel"/>
    <w:tmpl w:val="A4FA7EE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0" w15:restartNumberingAfterBreak="0">
    <w:nsid w:val="67EF0208"/>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BEC78B7"/>
    <w:multiLevelType w:val="hybridMultilevel"/>
    <w:tmpl w:val="E3643914"/>
    <w:lvl w:ilvl="0" w:tplc="F29AA240">
      <w:numFmt w:val="bullet"/>
      <w:lvlText w:val="•"/>
      <w:lvlJc w:val="left"/>
      <w:pPr>
        <w:ind w:left="3548" w:hanging="570"/>
      </w:pPr>
      <w:rPr>
        <w:rFonts w:ascii="Century Gothic" w:eastAsiaTheme="minorHAnsi" w:hAnsi="Century Gothic" w:cstheme="minorBidi" w:hint="default"/>
      </w:rPr>
    </w:lvl>
    <w:lvl w:ilvl="1" w:tplc="300A0003" w:tentative="1">
      <w:start w:val="1"/>
      <w:numFmt w:val="bullet"/>
      <w:lvlText w:val="o"/>
      <w:lvlJc w:val="left"/>
      <w:pPr>
        <w:ind w:left="4058" w:hanging="360"/>
      </w:pPr>
      <w:rPr>
        <w:rFonts w:ascii="Courier New" w:hAnsi="Courier New" w:cs="Courier New" w:hint="default"/>
      </w:rPr>
    </w:lvl>
    <w:lvl w:ilvl="2" w:tplc="300A0005" w:tentative="1">
      <w:start w:val="1"/>
      <w:numFmt w:val="bullet"/>
      <w:lvlText w:val=""/>
      <w:lvlJc w:val="left"/>
      <w:pPr>
        <w:ind w:left="4778" w:hanging="360"/>
      </w:pPr>
      <w:rPr>
        <w:rFonts w:ascii="Wingdings" w:hAnsi="Wingdings" w:hint="default"/>
      </w:rPr>
    </w:lvl>
    <w:lvl w:ilvl="3" w:tplc="300A0001" w:tentative="1">
      <w:start w:val="1"/>
      <w:numFmt w:val="bullet"/>
      <w:lvlText w:val=""/>
      <w:lvlJc w:val="left"/>
      <w:pPr>
        <w:ind w:left="5498" w:hanging="360"/>
      </w:pPr>
      <w:rPr>
        <w:rFonts w:ascii="Symbol" w:hAnsi="Symbol" w:hint="default"/>
      </w:rPr>
    </w:lvl>
    <w:lvl w:ilvl="4" w:tplc="300A0003" w:tentative="1">
      <w:start w:val="1"/>
      <w:numFmt w:val="bullet"/>
      <w:lvlText w:val="o"/>
      <w:lvlJc w:val="left"/>
      <w:pPr>
        <w:ind w:left="6218" w:hanging="360"/>
      </w:pPr>
      <w:rPr>
        <w:rFonts w:ascii="Courier New" w:hAnsi="Courier New" w:cs="Courier New" w:hint="default"/>
      </w:rPr>
    </w:lvl>
    <w:lvl w:ilvl="5" w:tplc="300A0005" w:tentative="1">
      <w:start w:val="1"/>
      <w:numFmt w:val="bullet"/>
      <w:lvlText w:val=""/>
      <w:lvlJc w:val="left"/>
      <w:pPr>
        <w:ind w:left="6938" w:hanging="360"/>
      </w:pPr>
      <w:rPr>
        <w:rFonts w:ascii="Wingdings" w:hAnsi="Wingdings" w:hint="default"/>
      </w:rPr>
    </w:lvl>
    <w:lvl w:ilvl="6" w:tplc="300A0001" w:tentative="1">
      <w:start w:val="1"/>
      <w:numFmt w:val="bullet"/>
      <w:lvlText w:val=""/>
      <w:lvlJc w:val="left"/>
      <w:pPr>
        <w:ind w:left="7658" w:hanging="360"/>
      </w:pPr>
      <w:rPr>
        <w:rFonts w:ascii="Symbol" w:hAnsi="Symbol" w:hint="default"/>
      </w:rPr>
    </w:lvl>
    <w:lvl w:ilvl="7" w:tplc="300A0003" w:tentative="1">
      <w:start w:val="1"/>
      <w:numFmt w:val="bullet"/>
      <w:lvlText w:val="o"/>
      <w:lvlJc w:val="left"/>
      <w:pPr>
        <w:ind w:left="8378" w:hanging="360"/>
      </w:pPr>
      <w:rPr>
        <w:rFonts w:ascii="Courier New" w:hAnsi="Courier New" w:cs="Courier New" w:hint="default"/>
      </w:rPr>
    </w:lvl>
    <w:lvl w:ilvl="8" w:tplc="300A0005" w:tentative="1">
      <w:start w:val="1"/>
      <w:numFmt w:val="bullet"/>
      <w:lvlText w:val=""/>
      <w:lvlJc w:val="left"/>
      <w:pPr>
        <w:ind w:left="9098" w:hanging="360"/>
      </w:pPr>
      <w:rPr>
        <w:rFonts w:ascii="Wingdings" w:hAnsi="Wingdings" w:hint="default"/>
      </w:rPr>
    </w:lvl>
  </w:abstractNum>
  <w:abstractNum w:abstractNumId="32" w15:restartNumberingAfterBreak="0">
    <w:nsid w:val="6FC4098A"/>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2AD2C88"/>
    <w:multiLevelType w:val="hybridMultilevel"/>
    <w:tmpl w:val="A7C6F034"/>
    <w:lvl w:ilvl="0" w:tplc="300A0001">
      <w:start w:val="1"/>
      <w:numFmt w:val="bullet"/>
      <w:lvlText w:val=""/>
      <w:lvlJc w:val="left"/>
      <w:pPr>
        <w:ind w:left="1146" w:hanging="360"/>
      </w:pPr>
      <w:rPr>
        <w:rFonts w:ascii="Symbol" w:hAnsi="Symbol" w:hint="default"/>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34" w15:restartNumberingAfterBreak="0">
    <w:nsid w:val="74460392"/>
    <w:multiLevelType w:val="multilevel"/>
    <w:tmpl w:val="49C4612C"/>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440" w:hanging="1440"/>
      </w:pPr>
      <w:rPr>
        <w:rFonts w:hint="default"/>
      </w:rPr>
    </w:lvl>
    <w:lvl w:ilvl="3">
      <w:start w:val="1"/>
      <w:numFmt w:val="decimal"/>
      <w:lvlText w:val="%1.%2.%3.%4"/>
      <w:lvlJc w:val="left"/>
      <w:pPr>
        <w:ind w:left="1800" w:hanging="1800"/>
      </w:pPr>
      <w:rPr>
        <w:rFonts w:hint="default"/>
      </w:rPr>
    </w:lvl>
    <w:lvl w:ilvl="4">
      <w:start w:val="1"/>
      <w:numFmt w:val="decimal"/>
      <w:lvlText w:val="%1.%2.%3.%4.%5"/>
      <w:lvlJc w:val="left"/>
      <w:pPr>
        <w:ind w:left="2160" w:hanging="2160"/>
      </w:pPr>
      <w:rPr>
        <w:rFonts w:hint="default"/>
      </w:rPr>
    </w:lvl>
    <w:lvl w:ilvl="5">
      <w:start w:val="1"/>
      <w:numFmt w:val="decimal"/>
      <w:lvlText w:val="%1.%2.%3.%4.%5.%6"/>
      <w:lvlJc w:val="left"/>
      <w:pPr>
        <w:ind w:left="2520" w:hanging="2520"/>
      </w:pPr>
      <w:rPr>
        <w:rFonts w:hint="default"/>
      </w:rPr>
    </w:lvl>
    <w:lvl w:ilvl="6">
      <w:start w:val="1"/>
      <w:numFmt w:val="decimal"/>
      <w:lvlText w:val="%1.%2.%3.%4.%5.%6.%7"/>
      <w:lvlJc w:val="left"/>
      <w:pPr>
        <w:ind w:left="2880" w:hanging="2880"/>
      </w:pPr>
      <w:rPr>
        <w:rFonts w:hint="default"/>
      </w:rPr>
    </w:lvl>
    <w:lvl w:ilvl="7">
      <w:start w:val="1"/>
      <w:numFmt w:val="decimal"/>
      <w:lvlText w:val="%1.%2.%3.%4.%5.%6.%7.%8"/>
      <w:lvlJc w:val="left"/>
      <w:pPr>
        <w:ind w:left="3600" w:hanging="3600"/>
      </w:pPr>
      <w:rPr>
        <w:rFonts w:hint="default"/>
      </w:rPr>
    </w:lvl>
    <w:lvl w:ilvl="8">
      <w:start w:val="1"/>
      <w:numFmt w:val="decimal"/>
      <w:lvlText w:val="%1.%2.%3.%4.%5.%6.%7.%8.%9"/>
      <w:lvlJc w:val="left"/>
      <w:pPr>
        <w:ind w:left="3960" w:hanging="3960"/>
      </w:pPr>
      <w:rPr>
        <w:rFonts w:hint="default"/>
      </w:rPr>
    </w:lvl>
  </w:abstractNum>
  <w:abstractNum w:abstractNumId="35" w15:restartNumberingAfterBreak="0">
    <w:nsid w:val="7F9D6D6A"/>
    <w:multiLevelType w:val="hybridMultilevel"/>
    <w:tmpl w:val="A91062B0"/>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0"/>
  </w:num>
  <w:num w:numId="2">
    <w:abstractNumId w:val="32"/>
  </w:num>
  <w:num w:numId="3">
    <w:abstractNumId w:val="13"/>
  </w:num>
  <w:num w:numId="4">
    <w:abstractNumId w:val="21"/>
  </w:num>
  <w:num w:numId="5">
    <w:abstractNumId w:val="25"/>
  </w:num>
  <w:num w:numId="6">
    <w:abstractNumId w:val="28"/>
  </w:num>
  <w:num w:numId="7">
    <w:abstractNumId w:val="0"/>
  </w:num>
  <w:num w:numId="8">
    <w:abstractNumId w:val="2"/>
  </w:num>
  <w:num w:numId="9">
    <w:abstractNumId w:val="29"/>
  </w:num>
  <w:num w:numId="10">
    <w:abstractNumId w:val="23"/>
  </w:num>
  <w:num w:numId="11">
    <w:abstractNumId w:val="5"/>
  </w:num>
  <w:num w:numId="12">
    <w:abstractNumId w:val="3"/>
  </w:num>
  <w:num w:numId="13">
    <w:abstractNumId w:val="7"/>
  </w:num>
  <w:num w:numId="14">
    <w:abstractNumId w:val="22"/>
  </w:num>
  <w:num w:numId="15">
    <w:abstractNumId w:val="31"/>
  </w:num>
  <w:num w:numId="16">
    <w:abstractNumId w:val="33"/>
  </w:num>
  <w:num w:numId="17">
    <w:abstractNumId w:val="14"/>
  </w:num>
  <w:num w:numId="18">
    <w:abstractNumId w:val="15"/>
  </w:num>
  <w:num w:numId="19">
    <w:abstractNumId w:val="26"/>
  </w:num>
  <w:num w:numId="20">
    <w:abstractNumId w:val="6"/>
  </w:num>
  <w:num w:numId="21">
    <w:abstractNumId w:val="19"/>
  </w:num>
  <w:num w:numId="22">
    <w:abstractNumId w:val="24"/>
  </w:num>
  <w:num w:numId="23">
    <w:abstractNumId w:val="9"/>
  </w:num>
  <w:num w:numId="24">
    <w:abstractNumId w:val="8"/>
  </w:num>
  <w:num w:numId="25">
    <w:abstractNumId w:val="18"/>
  </w:num>
  <w:num w:numId="26">
    <w:abstractNumId w:val="10"/>
  </w:num>
  <w:num w:numId="27">
    <w:abstractNumId w:val="1"/>
  </w:num>
  <w:num w:numId="28">
    <w:abstractNumId w:val="11"/>
  </w:num>
  <w:num w:numId="29">
    <w:abstractNumId w:val="20"/>
  </w:num>
  <w:num w:numId="30">
    <w:abstractNumId w:val="12"/>
  </w:num>
  <w:num w:numId="31">
    <w:abstractNumId w:val="35"/>
  </w:num>
  <w:num w:numId="32">
    <w:abstractNumId w:val="27"/>
  </w:num>
  <w:num w:numId="33">
    <w:abstractNumId w:val="17"/>
  </w:num>
  <w:num w:numId="34">
    <w:abstractNumId w:val="34"/>
  </w:num>
  <w:num w:numId="35">
    <w:abstractNumId w:val="4"/>
  </w:num>
  <w:num w:numId="36">
    <w:abstractNumId w:val="1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evenAndOddHeaders/>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4D74"/>
    <w:rsid w:val="00001910"/>
    <w:rsid w:val="000032E7"/>
    <w:rsid w:val="000034B0"/>
    <w:rsid w:val="000044A4"/>
    <w:rsid w:val="0000542B"/>
    <w:rsid w:val="00007196"/>
    <w:rsid w:val="00007A7C"/>
    <w:rsid w:val="00007B51"/>
    <w:rsid w:val="00010115"/>
    <w:rsid w:val="00010183"/>
    <w:rsid w:val="00010A37"/>
    <w:rsid w:val="00011E64"/>
    <w:rsid w:val="00011EF6"/>
    <w:rsid w:val="0001283C"/>
    <w:rsid w:val="0001317A"/>
    <w:rsid w:val="00013208"/>
    <w:rsid w:val="00013783"/>
    <w:rsid w:val="00013CC1"/>
    <w:rsid w:val="00014586"/>
    <w:rsid w:val="000148D9"/>
    <w:rsid w:val="00015819"/>
    <w:rsid w:val="000164CF"/>
    <w:rsid w:val="00016D33"/>
    <w:rsid w:val="000200F7"/>
    <w:rsid w:val="00020BB4"/>
    <w:rsid w:val="00020E07"/>
    <w:rsid w:val="000211E5"/>
    <w:rsid w:val="00021432"/>
    <w:rsid w:val="00022427"/>
    <w:rsid w:val="000231F0"/>
    <w:rsid w:val="00024EC9"/>
    <w:rsid w:val="0002523D"/>
    <w:rsid w:val="00025755"/>
    <w:rsid w:val="00026687"/>
    <w:rsid w:val="00027120"/>
    <w:rsid w:val="00027C90"/>
    <w:rsid w:val="00031BC7"/>
    <w:rsid w:val="000329A3"/>
    <w:rsid w:val="00032A13"/>
    <w:rsid w:val="00033832"/>
    <w:rsid w:val="00033847"/>
    <w:rsid w:val="0003478F"/>
    <w:rsid w:val="00036124"/>
    <w:rsid w:val="000365C5"/>
    <w:rsid w:val="00037808"/>
    <w:rsid w:val="00037E7B"/>
    <w:rsid w:val="000408C3"/>
    <w:rsid w:val="00041704"/>
    <w:rsid w:val="00041A2F"/>
    <w:rsid w:val="0004355A"/>
    <w:rsid w:val="00043628"/>
    <w:rsid w:val="00043B7D"/>
    <w:rsid w:val="000454CE"/>
    <w:rsid w:val="00045FC3"/>
    <w:rsid w:val="0004666F"/>
    <w:rsid w:val="000466A8"/>
    <w:rsid w:val="000501E7"/>
    <w:rsid w:val="0005080E"/>
    <w:rsid w:val="00050BB1"/>
    <w:rsid w:val="00051C3C"/>
    <w:rsid w:val="00051F31"/>
    <w:rsid w:val="00052022"/>
    <w:rsid w:val="000533D8"/>
    <w:rsid w:val="0005371D"/>
    <w:rsid w:val="0005395A"/>
    <w:rsid w:val="00055791"/>
    <w:rsid w:val="00055E40"/>
    <w:rsid w:val="00057405"/>
    <w:rsid w:val="0005755A"/>
    <w:rsid w:val="00057B93"/>
    <w:rsid w:val="0006146C"/>
    <w:rsid w:val="00061913"/>
    <w:rsid w:val="00061EA3"/>
    <w:rsid w:val="0006281A"/>
    <w:rsid w:val="00063393"/>
    <w:rsid w:val="0006357E"/>
    <w:rsid w:val="0006378C"/>
    <w:rsid w:val="00063ABA"/>
    <w:rsid w:val="00063BC3"/>
    <w:rsid w:val="00064335"/>
    <w:rsid w:val="000644B8"/>
    <w:rsid w:val="000649E2"/>
    <w:rsid w:val="000651D6"/>
    <w:rsid w:val="00066324"/>
    <w:rsid w:val="000663A3"/>
    <w:rsid w:val="000669D2"/>
    <w:rsid w:val="00067818"/>
    <w:rsid w:val="000679B1"/>
    <w:rsid w:val="00067E3B"/>
    <w:rsid w:val="00071230"/>
    <w:rsid w:val="000726F3"/>
    <w:rsid w:val="00073073"/>
    <w:rsid w:val="000744A4"/>
    <w:rsid w:val="00075890"/>
    <w:rsid w:val="0007597D"/>
    <w:rsid w:val="00076A23"/>
    <w:rsid w:val="00076A5B"/>
    <w:rsid w:val="00077441"/>
    <w:rsid w:val="0007765D"/>
    <w:rsid w:val="00077C4F"/>
    <w:rsid w:val="00077D78"/>
    <w:rsid w:val="000801BD"/>
    <w:rsid w:val="000811D6"/>
    <w:rsid w:val="000816C6"/>
    <w:rsid w:val="000834DA"/>
    <w:rsid w:val="00083BC7"/>
    <w:rsid w:val="000866CA"/>
    <w:rsid w:val="00086E4B"/>
    <w:rsid w:val="0009088D"/>
    <w:rsid w:val="00091785"/>
    <w:rsid w:val="00091935"/>
    <w:rsid w:val="00091946"/>
    <w:rsid w:val="00092B9A"/>
    <w:rsid w:val="00093081"/>
    <w:rsid w:val="0009394D"/>
    <w:rsid w:val="00093BC7"/>
    <w:rsid w:val="00094717"/>
    <w:rsid w:val="00094AAB"/>
    <w:rsid w:val="0009645A"/>
    <w:rsid w:val="000975E2"/>
    <w:rsid w:val="00097D58"/>
    <w:rsid w:val="000A0041"/>
    <w:rsid w:val="000A0FF6"/>
    <w:rsid w:val="000A106C"/>
    <w:rsid w:val="000A1618"/>
    <w:rsid w:val="000A1A22"/>
    <w:rsid w:val="000A242B"/>
    <w:rsid w:val="000A3A18"/>
    <w:rsid w:val="000A465C"/>
    <w:rsid w:val="000A5615"/>
    <w:rsid w:val="000A7F03"/>
    <w:rsid w:val="000B2665"/>
    <w:rsid w:val="000B378C"/>
    <w:rsid w:val="000B46C1"/>
    <w:rsid w:val="000B55C3"/>
    <w:rsid w:val="000B5D5A"/>
    <w:rsid w:val="000B6D90"/>
    <w:rsid w:val="000B74D4"/>
    <w:rsid w:val="000B77E1"/>
    <w:rsid w:val="000C056E"/>
    <w:rsid w:val="000C0B41"/>
    <w:rsid w:val="000C0BA3"/>
    <w:rsid w:val="000C1253"/>
    <w:rsid w:val="000C192F"/>
    <w:rsid w:val="000C1997"/>
    <w:rsid w:val="000C1F74"/>
    <w:rsid w:val="000C2644"/>
    <w:rsid w:val="000C2FA1"/>
    <w:rsid w:val="000C2FAC"/>
    <w:rsid w:val="000C3186"/>
    <w:rsid w:val="000C3FE1"/>
    <w:rsid w:val="000C4AC4"/>
    <w:rsid w:val="000C4F07"/>
    <w:rsid w:val="000C4F44"/>
    <w:rsid w:val="000C5734"/>
    <w:rsid w:val="000C7609"/>
    <w:rsid w:val="000C7C03"/>
    <w:rsid w:val="000D080D"/>
    <w:rsid w:val="000D21DB"/>
    <w:rsid w:val="000D4214"/>
    <w:rsid w:val="000D553D"/>
    <w:rsid w:val="000D5B13"/>
    <w:rsid w:val="000D5C8F"/>
    <w:rsid w:val="000D600B"/>
    <w:rsid w:val="000D6A7C"/>
    <w:rsid w:val="000D6EF6"/>
    <w:rsid w:val="000D7290"/>
    <w:rsid w:val="000E1229"/>
    <w:rsid w:val="000E1285"/>
    <w:rsid w:val="000E2513"/>
    <w:rsid w:val="000E25E0"/>
    <w:rsid w:val="000E26BE"/>
    <w:rsid w:val="000E2748"/>
    <w:rsid w:val="000E2B34"/>
    <w:rsid w:val="000E35B5"/>
    <w:rsid w:val="000E5E18"/>
    <w:rsid w:val="000E6457"/>
    <w:rsid w:val="000E7820"/>
    <w:rsid w:val="000E7A60"/>
    <w:rsid w:val="000F0D7B"/>
    <w:rsid w:val="000F0D9E"/>
    <w:rsid w:val="000F1744"/>
    <w:rsid w:val="000F26BA"/>
    <w:rsid w:val="000F44CA"/>
    <w:rsid w:val="000F4F2E"/>
    <w:rsid w:val="000F5361"/>
    <w:rsid w:val="001012FB"/>
    <w:rsid w:val="001016AA"/>
    <w:rsid w:val="00101AEB"/>
    <w:rsid w:val="0010203E"/>
    <w:rsid w:val="001022CF"/>
    <w:rsid w:val="001033E6"/>
    <w:rsid w:val="0010437E"/>
    <w:rsid w:val="00104656"/>
    <w:rsid w:val="0010509A"/>
    <w:rsid w:val="00105470"/>
    <w:rsid w:val="001056B6"/>
    <w:rsid w:val="001063C0"/>
    <w:rsid w:val="001064DC"/>
    <w:rsid w:val="00107F2F"/>
    <w:rsid w:val="00110509"/>
    <w:rsid w:val="00110678"/>
    <w:rsid w:val="00110C9A"/>
    <w:rsid w:val="00111637"/>
    <w:rsid w:val="00112852"/>
    <w:rsid w:val="00113A1C"/>
    <w:rsid w:val="00114091"/>
    <w:rsid w:val="00114ADD"/>
    <w:rsid w:val="00116B69"/>
    <w:rsid w:val="001175DC"/>
    <w:rsid w:val="00117DFA"/>
    <w:rsid w:val="00117F4A"/>
    <w:rsid w:val="00120585"/>
    <w:rsid w:val="001206EC"/>
    <w:rsid w:val="00120DFD"/>
    <w:rsid w:val="0012465B"/>
    <w:rsid w:val="001247A3"/>
    <w:rsid w:val="00124BF1"/>
    <w:rsid w:val="00124FEC"/>
    <w:rsid w:val="00125270"/>
    <w:rsid w:val="00125F25"/>
    <w:rsid w:val="00126279"/>
    <w:rsid w:val="00127179"/>
    <w:rsid w:val="0012799A"/>
    <w:rsid w:val="00130C36"/>
    <w:rsid w:val="00130FA7"/>
    <w:rsid w:val="00131C80"/>
    <w:rsid w:val="0013233F"/>
    <w:rsid w:val="001331A5"/>
    <w:rsid w:val="001344A2"/>
    <w:rsid w:val="00135D36"/>
    <w:rsid w:val="00135FA1"/>
    <w:rsid w:val="001377EA"/>
    <w:rsid w:val="00141159"/>
    <w:rsid w:val="00141E51"/>
    <w:rsid w:val="00143542"/>
    <w:rsid w:val="00143841"/>
    <w:rsid w:val="00143A73"/>
    <w:rsid w:val="00144C9D"/>
    <w:rsid w:val="00144E8C"/>
    <w:rsid w:val="00145AD1"/>
    <w:rsid w:val="001464B4"/>
    <w:rsid w:val="00152652"/>
    <w:rsid w:val="0015533A"/>
    <w:rsid w:val="00155720"/>
    <w:rsid w:val="00155768"/>
    <w:rsid w:val="00155C26"/>
    <w:rsid w:val="001564F2"/>
    <w:rsid w:val="0016073D"/>
    <w:rsid w:val="001607B8"/>
    <w:rsid w:val="00161780"/>
    <w:rsid w:val="00161AD2"/>
    <w:rsid w:val="001620BA"/>
    <w:rsid w:val="00162680"/>
    <w:rsid w:val="00162A17"/>
    <w:rsid w:val="00164BA2"/>
    <w:rsid w:val="00164E2A"/>
    <w:rsid w:val="00165463"/>
    <w:rsid w:val="00165D39"/>
    <w:rsid w:val="001667BD"/>
    <w:rsid w:val="00167666"/>
    <w:rsid w:val="001702CF"/>
    <w:rsid w:val="0017046A"/>
    <w:rsid w:val="00173A29"/>
    <w:rsid w:val="00173B4A"/>
    <w:rsid w:val="00173C46"/>
    <w:rsid w:val="00175723"/>
    <w:rsid w:val="00176DC1"/>
    <w:rsid w:val="00176DC8"/>
    <w:rsid w:val="001803FB"/>
    <w:rsid w:val="00180DCA"/>
    <w:rsid w:val="00181607"/>
    <w:rsid w:val="00182CE4"/>
    <w:rsid w:val="00182F25"/>
    <w:rsid w:val="00183190"/>
    <w:rsid w:val="00183DC2"/>
    <w:rsid w:val="0018520F"/>
    <w:rsid w:val="00185D1F"/>
    <w:rsid w:val="00185D51"/>
    <w:rsid w:val="0018636C"/>
    <w:rsid w:val="001863CF"/>
    <w:rsid w:val="00186C55"/>
    <w:rsid w:val="00187CE6"/>
    <w:rsid w:val="00191118"/>
    <w:rsid w:val="001931D2"/>
    <w:rsid w:val="001934E1"/>
    <w:rsid w:val="00194146"/>
    <w:rsid w:val="00194775"/>
    <w:rsid w:val="001953CF"/>
    <w:rsid w:val="00196D27"/>
    <w:rsid w:val="001A01AD"/>
    <w:rsid w:val="001A0BB5"/>
    <w:rsid w:val="001A107B"/>
    <w:rsid w:val="001A1C19"/>
    <w:rsid w:val="001A27DF"/>
    <w:rsid w:val="001A477D"/>
    <w:rsid w:val="001A52DF"/>
    <w:rsid w:val="001A59C2"/>
    <w:rsid w:val="001A621F"/>
    <w:rsid w:val="001B0290"/>
    <w:rsid w:val="001B0995"/>
    <w:rsid w:val="001B0D76"/>
    <w:rsid w:val="001B0EFB"/>
    <w:rsid w:val="001B1105"/>
    <w:rsid w:val="001B1A6D"/>
    <w:rsid w:val="001B1D03"/>
    <w:rsid w:val="001B23EF"/>
    <w:rsid w:val="001B269A"/>
    <w:rsid w:val="001B2828"/>
    <w:rsid w:val="001B2A6E"/>
    <w:rsid w:val="001B4561"/>
    <w:rsid w:val="001B47C3"/>
    <w:rsid w:val="001B4EB7"/>
    <w:rsid w:val="001B585D"/>
    <w:rsid w:val="001B6A25"/>
    <w:rsid w:val="001B6F07"/>
    <w:rsid w:val="001B7594"/>
    <w:rsid w:val="001B7C23"/>
    <w:rsid w:val="001C1B91"/>
    <w:rsid w:val="001C1E58"/>
    <w:rsid w:val="001C1FE5"/>
    <w:rsid w:val="001C35A8"/>
    <w:rsid w:val="001C51A6"/>
    <w:rsid w:val="001C7E2F"/>
    <w:rsid w:val="001D04C7"/>
    <w:rsid w:val="001D16BB"/>
    <w:rsid w:val="001D2D4E"/>
    <w:rsid w:val="001D2D5D"/>
    <w:rsid w:val="001D2D7D"/>
    <w:rsid w:val="001D4A37"/>
    <w:rsid w:val="001D4AB4"/>
    <w:rsid w:val="001D4EBA"/>
    <w:rsid w:val="001D4F77"/>
    <w:rsid w:val="001D6A2E"/>
    <w:rsid w:val="001D7C66"/>
    <w:rsid w:val="001D7E7B"/>
    <w:rsid w:val="001E02FB"/>
    <w:rsid w:val="001E2894"/>
    <w:rsid w:val="001E2EDC"/>
    <w:rsid w:val="001E3261"/>
    <w:rsid w:val="001E4B3F"/>
    <w:rsid w:val="001E5421"/>
    <w:rsid w:val="001E5ED6"/>
    <w:rsid w:val="001E774C"/>
    <w:rsid w:val="001F0935"/>
    <w:rsid w:val="001F1118"/>
    <w:rsid w:val="001F2762"/>
    <w:rsid w:val="001F3A1E"/>
    <w:rsid w:val="001F3FCC"/>
    <w:rsid w:val="001F606C"/>
    <w:rsid w:val="001F6DB1"/>
    <w:rsid w:val="0020032B"/>
    <w:rsid w:val="002015CC"/>
    <w:rsid w:val="002015D0"/>
    <w:rsid w:val="00201A82"/>
    <w:rsid w:val="00201FA4"/>
    <w:rsid w:val="00202BFD"/>
    <w:rsid w:val="00203695"/>
    <w:rsid w:val="00203922"/>
    <w:rsid w:val="002044A3"/>
    <w:rsid w:val="00205B9F"/>
    <w:rsid w:val="00205E82"/>
    <w:rsid w:val="00206199"/>
    <w:rsid w:val="00206A78"/>
    <w:rsid w:val="00210042"/>
    <w:rsid w:val="002103C0"/>
    <w:rsid w:val="002115AE"/>
    <w:rsid w:val="0021350F"/>
    <w:rsid w:val="00214F59"/>
    <w:rsid w:val="00215483"/>
    <w:rsid w:val="00215FBE"/>
    <w:rsid w:val="002165CC"/>
    <w:rsid w:val="0022070C"/>
    <w:rsid w:val="00220BED"/>
    <w:rsid w:val="0022274D"/>
    <w:rsid w:val="002239DE"/>
    <w:rsid w:val="00223DE1"/>
    <w:rsid w:val="0022433C"/>
    <w:rsid w:val="00225CFC"/>
    <w:rsid w:val="00225D70"/>
    <w:rsid w:val="00227E95"/>
    <w:rsid w:val="002308C2"/>
    <w:rsid w:val="00231AA0"/>
    <w:rsid w:val="00232452"/>
    <w:rsid w:val="00232A43"/>
    <w:rsid w:val="00234895"/>
    <w:rsid w:val="00234A32"/>
    <w:rsid w:val="00236D7D"/>
    <w:rsid w:val="002371E2"/>
    <w:rsid w:val="00237941"/>
    <w:rsid w:val="00241429"/>
    <w:rsid w:val="00241AD4"/>
    <w:rsid w:val="00241CA8"/>
    <w:rsid w:val="002432B3"/>
    <w:rsid w:val="00244728"/>
    <w:rsid w:val="0024510A"/>
    <w:rsid w:val="002452BA"/>
    <w:rsid w:val="00246EE2"/>
    <w:rsid w:val="002512E3"/>
    <w:rsid w:val="00251301"/>
    <w:rsid w:val="00251884"/>
    <w:rsid w:val="0025196A"/>
    <w:rsid w:val="00251ECD"/>
    <w:rsid w:val="00252922"/>
    <w:rsid w:val="00252C35"/>
    <w:rsid w:val="00252E03"/>
    <w:rsid w:val="00253F6A"/>
    <w:rsid w:val="00255582"/>
    <w:rsid w:val="00256058"/>
    <w:rsid w:val="00256990"/>
    <w:rsid w:val="00256CBC"/>
    <w:rsid w:val="00257B45"/>
    <w:rsid w:val="00260076"/>
    <w:rsid w:val="0026161A"/>
    <w:rsid w:val="002616DD"/>
    <w:rsid w:val="00261948"/>
    <w:rsid w:val="00261C99"/>
    <w:rsid w:val="0026227C"/>
    <w:rsid w:val="0026270D"/>
    <w:rsid w:val="00262C53"/>
    <w:rsid w:val="00263993"/>
    <w:rsid w:val="00265153"/>
    <w:rsid w:val="0026537F"/>
    <w:rsid w:val="00266AB2"/>
    <w:rsid w:val="002677F5"/>
    <w:rsid w:val="00267CF3"/>
    <w:rsid w:val="00267E8A"/>
    <w:rsid w:val="00267FA6"/>
    <w:rsid w:val="0027020E"/>
    <w:rsid w:val="002715D2"/>
    <w:rsid w:val="00272607"/>
    <w:rsid w:val="002731FD"/>
    <w:rsid w:val="0027494D"/>
    <w:rsid w:val="00274ED6"/>
    <w:rsid w:val="0027526F"/>
    <w:rsid w:val="002769A2"/>
    <w:rsid w:val="00281390"/>
    <w:rsid w:val="00281B20"/>
    <w:rsid w:val="00282AD0"/>
    <w:rsid w:val="00284EF0"/>
    <w:rsid w:val="0028603A"/>
    <w:rsid w:val="00286182"/>
    <w:rsid w:val="002874D3"/>
    <w:rsid w:val="00287E5E"/>
    <w:rsid w:val="0029003B"/>
    <w:rsid w:val="00290A4A"/>
    <w:rsid w:val="00290A5B"/>
    <w:rsid w:val="00291DB4"/>
    <w:rsid w:val="002924F9"/>
    <w:rsid w:val="00292516"/>
    <w:rsid w:val="002925C2"/>
    <w:rsid w:val="002947B3"/>
    <w:rsid w:val="00295050"/>
    <w:rsid w:val="00296ADD"/>
    <w:rsid w:val="00296D64"/>
    <w:rsid w:val="00297A4F"/>
    <w:rsid w:val="002A016C"/>
    <w:rsid w:val="002A1B80"/>
    <w:rsid w:val="002A1CBD"/>
    <w:rsid w:val="002A2A58"/>
    <w:rsid w:val="002A38B5"/>
    <w:rsid w:val="002A3E96"/>
    <w:rsid w:val="002A4D80"/>
    <w:rsid w:val="002A4FCF"/>
    <w:rsid w:val="002A5AA4"/>
    <w:rsid w:val="002A6496"/>
    <w:rsid w:val="002A67AA"/>
    <w:rsid w:val="002A72B3"/>
    <w:rsid w:val="002B0ACE"/>
    <w:rsid w:val="002B1781"/>
    <w:rsid w:val="002B3FC6"/>
    <w:rsid w:val="002B56FC"/>
    <w:rsid w:val="002B57BD"/>
    <w:rsid w:val="002B59C3"/>
    <w:rsid w:val="002B6A67"/>
    <w:rsid w:val="002B6C22"/>
    <w:rsid w:val="002B6D93"/>
    <w:rsid w:val="002C02D7"/>
    <w:rsid w:val="002C194B"/>
    <w:rsid w:val="002C2039"/>
    <w:rsid w:val="002C21DF"/>
    <w:rsid w:val="002C3DD6"/>
    <w:rsid w:val="002C407E"/>
    <w:rsid w:val="002C5914"/>
    <w:rsid w:val="002C688D"/>
    <w:rsid w:val="002C75DE"/>
    <w:rsid w:val="002D0E16"/>
    <w:rsid w:val="002D14AB"/>
    <w:rsid w:val="002D1820"/>
    <w:rsid w:val="002D38B7"/>
    <w:rsid w:val="002D4741"/>
    <w:rsid w:val="002D5717"/>
    <w:rsid w:val="002D5FA4"/>
    <w:rsid w:val="002E0454"/>
    <w:rsid w:val="002E26DC"/>
    <w:rsid w:val="002E3036"/>
    <w:rsid w:val="002E333A"/>
    <w:rsid w:val="002E45C8"/>
    <w:rsid w:val="002E4F0B"/>
    <w:rsid w:val="002E558E"/>
    <w:rsid w:val="002E5852"/>
    <w:rsid w:val="002E5A41"/>
    <w:rsid w:val="002E6551"/>
    <w:rsid w:val="002E670C"/>
    <w:rsid w:val="002F0635"/>
    <w:rsid w:val="002F0E05"/>
    <w:rsid w:val="002F1DB7"/>
    <w:rsid w:val="002F3466"/>
    <w:rsid w:val="002F3998"/>
    <w:rsid w:val="002F408F"/>
    <w:rsid w:val="002F5F8C"/>
    <w:rsid w:val="002F67F5"/>
    <w:rsid w:val="00300089"/>
    <w:rsid w:val="00300835"/>
    <w:rsid w:val="003011C2"/>
    <w:rsid w:val="00301208"/>
    <w:rsid w:val="00301237"/>
    <w:rsid w:val="00301860"/>
    <w:rsid w:val="00301C6A"/>
    <w:rsid w:val="003024E1"/>
    <w:rsid w:val="003033A4"/>
    <w:rsid w:val="003035EA"/>
    <w:rsid w:val="00303F16"/>
    <w:rsid w:val="0030438F"/>
    <w:rsid w:val="00305D0A"/>
    <w:rsid w:val="00305E7D"/>
    <w:rsid w:val="0030623F"/>
    <w:rsid w:val="00306912"/>
    <w:rsid w:val="00306940"/>
    <w:rsid w:val="00310A18"/>
    <w:rsid w:val="00315482"/>
    <w:rsid w:val="003159C5"/>
    <w:rsid w:val="00316836"/>
    <w:rsid w:val="00317011"/>
    <w:rsid w:val="00317952"/>
    <w:rsid w:val="00317D25"/>
    <w:rsid w:val="00317D4E"/>
    <w:rsid w:val="00317D8E"/>
    <w:rsid w:val="0032035A"/>
    <w:rsid w:val="003208B5"/>
    <w:rsid w:val="003217C6"/>
    <w:rsid w:val="0032181A"/>
    <w:rsid w:val="00321849"/>
    <w:rsid w:val="003223DB"/>
    <w:rsid w:val="003224D2"/>
    <w:rsid w:val="00324242"/>
    <w:rsid w:val="0032448D"/>
    <w:rsid w:val="0032493C"/>
    <w:rsid w:val="0032514A"/>
    <w:rsid w:val="00325BD1"/>
    <w:rsid w:val="0032667E"/>
    <w:rsid w:val="003266C5"/>
    <w:rsid w:val="0032722A"/>
    <w:rsid w:val="00327805"/>
    <w:rsid w:val="003306B3"/>
    <w:rsid w:val="00331281"/>
    <w:rsid w:val="00331E0C"/>
    <w:rsid w:val="003320A2"/>
    <w:rsid w:val="00332392"/>
    <w:rsid w:val="00332C3D"/>
    <w:rsid w:val="00333C29"/>
    <w:rsid w:val="00334BCC"/>
    <w:rsid w:val="003358FD"/>
    <w:rsid w:val="00335AEF"/>
    <w:rsid w:val="00336135"/>
    <w:rsid w:val="00336EF3"/>
    <w:rsid w:val="0034063F"/>
    <w:rsid w:val="00341EB1"/>
    <w:rsid w:val="00343C70"/>
    <w:rsid w:val="003448C7"/>
    <w:rsid w:val="00344CA5"/>
    <w:rsid w:val="00344D2E"/>
    <w:rsid w:val="003462A2"/>
    <w:rsid w:val="00347B27"/>
    <w:rsid w:val="00347F33"/>
    <w:rsid w:val="003512C1"/>
    <w:rsid w:val="00353DDA"/>
    <w:rsid w:val="00354067"/>
    <w:rsid w:val="003543B1"/>
    <w:rsid w:val="00355720"/>
    <w:rsid w:val="00355B1A"/>
    <w:rsid w:val="00355B2F"/>
    <w:rsid w:val="003567D6"/>
    <w:rsid w:val="003568C9"/>
    <w:rsid w:val="00361AF3"/>
    <w:rsid w:val="003628DF"/>
    <w:rsid w:val="003637C7"/>
    <w:rsid w:val="0036396E"/>
    <w:rsid w:val="00364542"/>
    <w:rsid w:val="00365B68"/>
    <w:rsid w:val="00366E73"/>
    <w:rsid w:val="00367303"/>
    <w:rsid w:val="00367B63"/>
    <w:rsid w:val="00367C2E"/>
    <w:rsid w:val="003707E1"/>
    <w:rsid w:val="0037109F"/>
    <w:rsid w:val="00371209"/>
    <w:rsid w:val="003713B9"/>
    <w:rsid w:val="00371C7E"/>
    <w:rsid w:val="00371D39"/>
    <w:rsid w:val="003733B7"/>
    <w:rsid w:val="003740A4"/>
    <w:rsid w:val="0037484E"/>
    <w:rsid w:val="0037590E"/>
    <w:rsid w:val="003768E1"/>
    <w:rsid w:val="00376946"/>
    <w:rsid w:val="00376A1D"/>
    <w:rsid w:val="00377006"/>
    <w:rsid w:val="0037755D"/>
    <w:rsid w:val="00382648"/>
    <w:rsid w:val="00382A58"/>
    <w:rsid w:val="003836FF"/>
    <w:rsid w:val="00383BB3"/>
    <w:rsid w:val="00383E1B"/>
    <w:rsid w:val="00383F6B"/>
    <w:rsid w:val="00384171"/>
    <w:rsid w:val="00384A15"/>
    <w:rsid w:val="00384B0A"/>
    <w:rsid w:val="00384B5B"/>
    <w:rsid w:val="003863D7"/>
    <w:rsid w:val="0038691D"/>
    <w:rsid w:val="003877AA"/>
    <w:rsid w:val="00390164"/>
    <w:rsid w:val="003903FC"/>
    <w:rsid w:val="003921C6"/>
    <w:rsid w:val="00393F06"/>
    <w:rsid w:val="00395C69"/>
    <w:rsid w:val="00397619"/>
    <w:rsid w:val="00397BB3"/>
    <w:rsid w:val="003A086E"/>
    <w:rsid w:val="003A1DB8"/>
    <w:rsid w:val="003A2DA2"/>
    <w:rsid w:val="003A3DA6"/>
    <w:rsid w:val="003A510D"/>
    <w:rsid w:val="003A5993"/>
    <w:rsid w:val="003A63EC"/>
    <w:rsid w:val="003A6A5B"/>
    <w:rsid w:val="003A7EFA"/>
    <w:rsid w:val="003B1A9A"/>
    <w:rsid w:val="003B2DB4"/>
    <w:rsid w:val="003B31CD"/>
    <w:rsid w:val="003B41EA"/>
    <w:rsid w:val="003B4496"/>
    <w:rsid w:val="003B4A6B"/>
    <w:rsid w:val="003B7836"/>
    <w:rsid w:val="003B7909"/>
    <w:rsid w:val="003C0A46"/>
    <w:rsid w:val="003C189A"/>
    <w:rsid w:val="003C1C00"/>
    <w:rsid w:val="003C20C6"/>
    <w:rsid w:val="003C25F6"/>
    <w:rsid w:val="003C326C"/>
    <w:rsid w:val="003C39DA"/>
    <w:rsid w:val="003C4A74"/>
    <w:rsid w:val="003C542A"/>
    <w:rsid w:val="003C57E3"/>
    <w:rsid w:val="003C67D5"/>
    <w:rsid w:val="003D04E1"/>
    <w:rsid w:val="003D1DC1"/>
    <w:rsid w:val="003D2209"/>
    <w:rsid w:val="003D22A3"/>
    <w:rsid w:val="003D391E"/>
    <w:rsid w:val="003D3B9A"/>
    <w:rsid w:val="003D46A7"/>
    <w:rsid w:val="003D46CF"/>
    <w:rsid w:val="003D53BE"/>
    <w:rsid w:val="003D6327"/>
    <w:rsid w:val="003D7AF2"/>
    <w:rsid w:val="003E0015"/>
    <w:rsid w:val="003E01A4"/>
    <w:rsid w:val="003E0C77"/>
    <w:rsid w:val="003E1A33"/>
    <w:rsid w:val="003E1E53"/>
    <w:rsid w:val="003E217F"/>
    <w:rsid w:val="003E24BC"/>
    <w:rsid w:val="003E4024"/>
    <w:rsid w:val="003E7E74"/>
    <w:rsid w:val="003F0454"/>
    <w:rsid w:val="003F0E22"/>
    <w:rsid w:val="003F1652"/>
    <w:rsid w:val="003F3BBB"/>
    <w:rsid w:val="003F4399"/>
    <w:rsid w:val="003F488F"/>
    <w:rsid w:val="003F4D09"/>
    <w:rsid w:val="003F5CEA"/>
    <w:rsid w:val="003F68A3"/>
    <w:rsid w:val="003F7397"/>
    <w:rsid w:val="0040022D"/>
    <w:rsid w:val="00400610"/>
    <w:rsid w:val="00401D99"/>
    <w:rsid w:val="0040235F"/>
    <w:rsid w:val="0040315C"/>
    <w:rsid w:val="0040402A"/>
    <w:rsid w:val="00404754"/>
    <w:rsid w:val="004055A7"/>
    <w:rsid w:val="00405807"/>
    <w:rsid w:val="004064EB"/>
    <w:rsid w:val="004067A1"/>
    <w:rsid w:val="00406976"/>
    <w:rsid w:val="004069D8"/>
    <w:rsid w:val="004130B5"/>
    <w:rsid w:val="00413139"/>
    <w:rsid w:val="0041459B"/>
    <w:rsid w:val="004156B5"/>
    <w:rsid w:val="00415DF2"/>
    <w:rsid w:val="00416A02"/>
    <w:rsid w:val="00417C40"/>
    <w:rsid w:val="00417F6C"/>
    <w:rsid w:val="004200A6"/>
    <w:rsid w:val="00421539"/>
    <w:rsid w:val="00423D42"/>
    <w:rsid w:val="00423D73"/>
    <w:rsid w:val="00425D0D"/>
    <w:rsid w:val="004266EF"/>
    <w:rsid w:val="00426C61"/>
    <w:rsid w:val="00426C78"/>
    <w:rsid w:val="00427B4A"/>
    <w:rsid w:val="00427F11"/>
    <w:rsid w:val="0043019C"/>
    <w:rsid w:val="00431BDA"/>
    <w:rsid w:val="0043262E"/>
    <w:rsid w:val="0043326D"/>
    <w:rsid w:val="004347BD"/>
    <w:rsid w:val="0043707A"/>
    <w:rsid w:val="004371E1"/>
    <w:rsid w:val="004375CC"/>
    <w:rsid w:val="00437931"/>
    <w:rsid w:val="00441193"/>
    <w:rsid w:val="004432EE"/>
    <w:rsid w:val="00443329"/>
    <w:rsid w:val="004434F1"/>
    <w:rsid w:val="00443A53"/>
    <w:rsid w:val="00443AF2"/>
    <w:rsid w:val="004453FF"/>
    <w:rsid w:val="0044561F"/>
    <w:rsid w:val="00447C0B"/>
    <w:rsid w:val="00447E36"/>
    <w:rsid w:val="00450197"/>
    <w:rsid w:val="004505AE"/>
    <w:rsid w:val="004508A5"/>
    <w:rsid w:val="0045102B"/>
    <w:rsid w:val="00451626"/>
    <w:rsid w:val="004518CC"/>
    <w:rsid w:val="00451F96"/>
    <w:rsid w:val="00453643"/>
    <w:rsid w:val="00453840"/>
    <w:rsid w:val="00454F1D"/>
    <w:rsid w:val="00455189"/>
    <w:rsid w:val="004551B4"/>
    <w:rsid w:val="00455C19"/>
    <w:rsid w:val="004567D7"/>
    <w:rsid w:val="004568D0"/>
    <w:rsid w:val="0046057A"/>
    <w:rsid w:val="00461155"/>
    <w:rsid w:val="00461514"/>
    <w:rsid w:val="00463191"/>
    <w:rsid w:val="00463AB0"/>
    <w:rsid w:val="0046409D"/>
    <w:rsid w:val="00464B02"/>
    <w:rsid w:val="00464E17"/>
    <w:rsid w:val="004655EE"/>
    <w:rsid w:val="0046674D"/>
    <w:rsid w:val="00466BF1"/>
    <w:rsid w:val="0046722B"/>
    <w:rsid w:val="004704A9"/>
    <w:rsid w:val="00471341"/>
    <w:rsid w:val="00471556"/>
    <w:rsid w:val="00472563"/>
    <w:rsid w:val="00472910"/>
    <w:rsid w:val="00473043"/>
    <w:rsid w:val="00473237"/>
    <w:rsid w:val="004732B9"/>
    <w:rsid w:val="0047372B"/>
    <w:rsid w:val="00473E82"/>
    <w:rsid w:val="00473EEA"/>
    <w:rsid w:val="00474400"/>
    <w:rsid w:val="00475192"/>
    <w:rsid w:val="004755AE"/>
    <w:rsid w:val="00475F6D"/>
    <w:rsid w:val="004761FF"/>
    <w:rsid w:val="0047785A"/>
    <w:rsid w:val="004806FB"/>
    <w:rsid w:val="004811F0"/>
    <w:rsid w:val="004823A7"/>
    <w:rsid w:val="00484096"/>
    <w:rsid w:val="00484F7B"/>
    <w:rsid w:val="0048675D"/>
    <w:rsid w:val="00487000"/>
    <w:rsid w:val="004903F7"/>
    <w:rsid w:val="00491916"/>
    <w:rsid w:val="00491B94"/>
    <w:rsid w:val="00492810"/>
    <w:rsid w:val="00492CE8"/>
    <w:rsid w:val="0049313D"/>
    <w:rsid w:val="00493428"/>
    <w:rsid w:val="00494A92"/>
    <w:rsid w:val="00497016"/>
    <w:rsid w:val="004A2E48"/>
    <w:rsid w:val="004A3690"/>
    <w:rsid w:val="004A38B9"/>
    <w:rsid w:val="004A5640"/>
    <w:rsid w:val="004A59B1"/>
    <w:rsid w:val="004A6753"/>
    <w:rsid w:val="004A6CC0"/>
    <w:rsid w:val="004A6FAB"/>
    <w:rsid w:val="004A705C"/>
    <w:rsid w:val="004A7421"/>
    <w:rsid w:val="004A793C"/>
    <w:rsid w:val="004B2644"/>
    <w:rsid w:val="004B26B3"/>
    <w:rsid w:val="004B2FED"/>
    <w:rsid w:val="004B368E"/>
    <w:rsid w:val="004B608C"/>
    <w:rsid w:val="004B692B"/>
    <w:rsid w:val="004C0209"/>
    <w:rsid w:val="004C03D7"/>
    <w:rsid w:val="004C0C29"/>
    <w:rsid w:val="004C283E"/>
    <w:rsid w:val="004C2889"/>
    <w:rsid w:val="004C2B6D"/>
    <w:rsid w:val="004C30C2"/>
    <w:rsid w:val="004C3AEE"/>
    <w:rsid w:val="004C5161"/>
    <w:rsid w:val="004C5EDB"/>
    <w:rsid w:val="004C658F"/>
    <w:rsid w:val="004C731F"/>
    <w:rsid w:val="004C7E6F"/>
    <w:rsid w:val="004D0479"/>
    <w:rsid w:val="004D0AF8"/>
    <w:rsid w:val="004D0C53"/>
    <w:rsid w:val="004D2048"/>
    <w:rsid w:val="004D2078"/>
    <w:rsid w:val="004D28A9"/>
    <w:rsid w:val="004D455D"/>
    <w:rsid w:val="004D49F5"/>
    <w:rsid w:val="004D4B4B"/>
    <w:rsid w:val="004D6263"/>
    <w:rsid w:val="004D6FBB"/>
    <w:rsid w:val="004D797F"/>
    <w:rsid w:val="004E0749"/>
    <w:rsid w:val="004E1A40"/>
    <w:rsid w:val="004E2701"/>
    <w:rsid w:val="004E29EF"/>
    <w:rsid w:val="004E3976"/>
    <w:rsid w:val="004E3F87"/>
    <w:rsid w:val="004E529B"/>
    <w:rsid w:val="004E55DC"/>
    <w:rsid w:val="004E7A89"/>
    <w:rsid w:val="004F12EE"/>
    <w:rsid w:val="004F1963"/>
    <w:rsid w:val="004F226D"/>
    <w:rsid w:val="004F2550"/>
    <w:rsid w:val="004F26A2"/>
    <w:rsid w:val="004F3509"/>
    <w:rsid w:val="004F4437"/>
    <w:rsid w:val="004F5B72"/>
    <w:rsid w:val="004F6717"/>
    <w:rsid w:val="004F68B0"/>
    <w:rsid w:val="004F7E8B"/>
    <w:rsid w:val="00500954"/>
    <w:rsid w:val="0050122D"/>
    <w:rsid w:val="00501614"/>
    <w:rsid w:val="005016BD"/>
    <w:rsid w:val="005018AD"/>
    <w:rsid w:val="005025C2"/>
    <w:rsid w:val="00503A55"/>
    <w:rsid w:val="005044B9"/>
    <w:rsid w:val="00505C39"/>
    <w:rsid w:val="00505D60"/>
    <w:rsid w:val="00506055"/>
    <w:rsid w:val="00511006"/>
    <w:rsid w:val="0051174C"/>
    <w:rsid w:val="005118F8"/>
    <w:rsid w:val="00511B2B"/>
    <w:rsid w:val="00511C71"/>
    <w:rsid w:val="00512DD7"/>
    <w:rsid w:val="00514438"/>
    <w:rsid w:val="005151BC"/>
    <w:rsid w:val="00516537"/>
    <w:rsid w:val="0052146F"/>
    <w:rsid w:val="005229F7"/>
    <w:rsid w:val="00523EE8"/>
    <w:rsid w:val="0052479C"/>
    <w:rsid w:val="00524D29"/>
    <w:rsid w:val="005260A1"/>
    <w:rsid w:val="00526860"/>
    <w:rsid w:val="005275EA"/>
    <w:rsid w:val="00527DED"/>
    <w:rsid w:val="005300EB"/>
    <w:rsid w:val="005304A5"/>
    <w:rsid w:val="005304BE"/>
    <w:rsid w:val="00530542"/>
    <w:rsid w:val="00530D50"/>
    <w:rsid w:val="00530E00"/>
    <w:rsid w:val="00531277"/>
    <w:rsid w:val="00531B1B"/>
    <w:rsid w:val="005320AD"/>
    <w:rsid w:val="00532F27"/>
    <w:rsid w:val="005338EB"/>
    <w:rsid w:val="00534FD7"/>
    <w:rsid w:val="00535565"/>
    <w:rsid w:val="005371A1"/>
    <w:rsid w:val="0054099E"/>
    <w:rsid w:val="00541237"/>
    <w:rsid w:val="0054143F"/>
    <w:rsid w:val="00541AE5"/>
    <w:rsid w:val="00542E71"/>
    <w:rsid w:val="00542EC1"/>
    <w:rsid w:val="00543CCB"/>
    <w:rsid w:val="005449EF"/>
    <w:rsid w:val="005451C5"/>
    <w:rsid w:val="0054520D"/>
    <w:rsid w:val="005459A4"/>
    <w:rsid w:val="005467C7"/>
    <w:rsid w:val="00546AE5"/>
    <w:rsid w:val="00550076"/>
    <w:rsid w:val="00550952"/>
    <w:rsid w:val="00550D19"/>
    <w:rsid w:val="00550DDB"/>
    <w:rsid w:val="005511D3"/>
    <w:rsid w:val="00552659"/>
    <w:rsid w:val="005534BE"/>
    <w:rsid w:val="00553729"/>
    <w:rsid w:val="00553E02"/>
    <w:rsid w:val="005546A3"/>
    <w:rsid w:val="00555BF7"/>
    <w:rsid w:val="00556A61"/>
    <w:rsid w:val="00556AFC"/>
    <w:rsid w:val="00557F93"/>
    <w:rsid w:val="0056022B"/>
    <w:rsid w:val="00560917"/>
    <w:rsid w:val="0056242A"/>
    <w:rsid w:val="0056342B"/>
    <w:rsid w:val="00563F79"/>
    <w:rsid w:val="005657DA"/>
    <w:rsid w:val="00565EC5"/>
    <w:rsid w:val="0056713A"/>
    <w:rsid w:val="00567FC2"/>
    <w:rsid w:val="0057020A"/>
    <w:rsid w:val="00570538"/>
    <w:rsid w:val="0057354C"/>
    <w:rsid w:val="005749CC"/>
    <w:rsid w:val="005759DD"/>
    <w:rsid w:val="005768DB"/>
    <w:rsid w:val="005800B0"/>
    <w:rsid w:val="0058062C"/>
    <w:rsid w:val="00582F31"/>
    <w:rsid w:val="00583347"/>
    <w:rsid w:val="00583E2B"/>
    <w:rsid w:val="005869BD"/>
    <w:rsid w:val="00587C52"/>
    <w:rsid w:val="00587F0E"/>
    <w:rsid w:val="00590399"/>
    <w:rsid w:val="005903AC"/>
    <w:rsid w:val="00591A66"/>
    <w:rsid w:val="005920EC"/>
    <w:rsid w:val="00592248"/>
    <w:rsid w:val="00592E48"/>
    <w:rsid w:val="00592E78"/>
    <w:rsid w:val="00593D68"/>
    <w:rsid w:val="00593F6C"/>
    <w:rsid w:val="005947C1"/>
    <w:rsid w:val="0059483E"/>
    <w:rsid w:val="00595069"/>
    <w:rsid w:val="0059625C"/>
    <w:rsid w:val="005964BB"/>
    <w:rsid w:val="005966F7"/>
    <w:rsid w:val="00596745"/>
    <w:rsid w:val="00596935"/>
    <w:rsid w:val="00597689"/>
    <w:rsid w:val="005A18CC"/>
    <w:rsid w:val="005A1D66"/>
    <w:rsid w:val="005A228A"/>
    <w:rsid w:val="005A2A10"/>
    <w:rsid w:val="005A3A3E"/>
    <w:rsid w:val="005A3BD9"/>
    <w:rsid w:val="005A5E4F"/>
    <w:rsid w:val="005A606E"/>
    <w:rsid w:val="005A6747"/>
    <w:rsid w:val="005A696E"/>
    <w:rsid w:val="005A6F93"/>
    <w:rsid w:val="005A7305"/>
    <w:rsid w:val="005B0250"/>
    <w:rsid w:val="005B0D22"/>
    <w:rsid w:val="005B0F2E"/>
    <w:rsid w:val="005B4091"/>
    <w:rsid w:val="005B517E"/>
    <w:rsid w:val="005B5A6D"/>
    <w:rsid w:val="005B5DAB"/>
    <w:rsid w:val="005B653F"/>
    <w:rsid w:val="005B710C"/>
    <w:rsid w:val="005B762D"/>
    <w:rsid w:val="005B78BB"/>
    <w:rsid w:val="005C046D"/>
    <w:rsid w:val="005C0886"/>
    <w:rsid w:val="005C165A"/>
    <w:rsid w:val="005C1DF7"/>
    <w:rsid w:val="005C2847"/>
    <w:rsid w:val="005C2D46"/>
    <w:rsid w:val="005C3266"/>
    <w:rsid w:val="005C375B"/>
    <w:rsid w:val="005C3D5F"/>
    <w:rsid w:val="005C3F94"/>
    <w:rsid w:val="005C4F70"/>
    <w:rsid w:val="005C59CD"/>
    <w:rsid w:val="005C5AD2"/>
    <w:rsid w:val="005C64D7"/>
    <w:rsid w:val="005D26CA"/>
    <w:rsid w:val="005D29F0"/>
    <w:rsid w:val="005D3C21"/>
    <w:rsid w:val="005D4445"/>
    <w:rsid w:val="005D4BA4"/>
    <w:rsid w:val="005D61AF"/>
    <w:rsid w:val="005E0093"/>
    <w:rsid w:val="005E038F"/>
    <w:rsid w:val="005E045F"/>
    <w:rsid w:val="005E0D14"/>
    <w:rsid w:val="005E11EA"/>
    <w:rsid w:val="005E1D1C"/>
    <w:rsid w:val="005E1EF8"/>
    <w:rsid w:val="005E2669"/>
    <w:rsid w:val="005E30DF"/>
    <w:rsid w:val="005E4972"/>
    <w:rsid w:val="005E58D0"/>
    <w:rsid w:val="005E626E"/>
    <w:rsid w:val="005E6FAD"/>
    <w:rsid w:val="005E7368"/>
    <w:rsid w:val="005F3153"/>
    <w:rsid w:val="005F3E0A"/>
    <w:rsid w:val="005F5926"/>
    <w:rsid w:val="005F6855"/>
    <w:rsid w:val="005F6E91"/>
    <w:rsid w:val="005F7013"/>
    <w:rsid w:val="005F7B8D"/>
    <w:rsid w:val="005F7D24"/>
    <w:rsid w:val="005F7E20"/>
    <w:rsid w:val="005F7EA9"/>
    <w:rsid w:val="005F7F0D"/>
    <w:rsid w:val="00600602"/>
    <w:rsid w:val="00601484"/>
    <w:rsid w:val="006018F7"/>
    <w:rsid w:val="00602172"/>
    <w:rsid w:val="006033DB"/>
    <w:rsid w:val="006048F7"/>
    <w:rsid w:val="006050BB"/>
    <w:rsid w:val="00605204"/>
    <w:rsid w:val="0060557D"/>
    <w:rsid w:val="00605FBD"/>
    <w:rsid w:val="006061F4"/>
    <w:rsid w:val="006068CA"/>
    <w:rsid w:val="00610CEC"/>
    <w:rsid w:val="00611C3D"/>
    <w:rsid w:val="0061211E"/>
    <w:rsid w:val="0061398D"/>
    <w:rsid w:val="006151A5"/>
    <w:rsid w:val="00615852"/>
    <w:rsid w:val="00616541"/>
    <w:rsid w:val="006166DD"/>
    <w:rsid w:val="00616AD0"/>
    <w:rsid w:val="00617033"/>
    <w:rsid w:val="0061712F"/>
    <w:rsid w:val="00617560"/>
    <w:rsid w:val="00617EA1"/>
    <w:rsid w:val="006203FB"/>
    <w:rsid w:val="00621176"/>
    <w:rsid w:val="00621A57"/>
    <w:rsid w:val="00621F9B"/>
    <w:rsid w:val="006223C6"/>
    <w:rsid w:val="006227F5"/>
    <w:rsid w:val="00622CA9"/>
    <w:rsid w:val="00622D09"/>
    <w:rsid w:val="006235CC"/>
    <w:rsid w:val="00623F96"/>
    <w:rsid w:val="00624BFF"/>
    <w:rsid w:val="00624CD0"/>
    <w:rsid w:val="00624E17"/>
    <w:rsid w:val="00624FF6"/>
    <w:rsid w:val="006260AA"/>
    <w:rsid w:val="00626308"/>
    <w:rsid w:val="00626FE1"/>
    <w:rsid w:val="006305FD"/>
    <w:rsid w:val="00632C35"/>
    <w:rsid w:val="006333C8"/>
    <w:rsid w:val="00633D91"/>
    <w:rsid w:val="00633ED4"/>
    <w:rsid w:val="00634757"/>
    <w:rsid w:val="00634AD4"/>
    <w:rsid w:val="00636CBF"/>
    <w:rsid w:val="006377F6"/>
    <w:rsid w:val="006379A7"/>
    <w:rsid w:val="00637D25"/>
    <w:rsid w:val="006407CC"/>
    <w:rsid w:val="006407D9"/>
    <w:rsid w:val="006411A2"/>
    <w:rsid w:val="0064151F"/>
    <w:rsid w:val="00641BD1"/>
    <w:rsid w:val="00641DC2"/>
    <w:rsid w:val="00641FA9"/>
    <w:rsid w:val="00642003"/>
    <w:rsid w:val="00642C3C"/>
    <w:rsid w:val="00642DF3"/>
    <w:rsid w:val="00642E06"/>
    <w:rsid w:val="00642EE6"/>
    <w:rsid w:val="00643893"/>
    <w:rsid w:val="00644387"/>
    <w:rsid w:val="00645134"/>
    <w:rsid w:val="006452F9"/>
    <w:rsid w:val="00646F18"/>
    <w:rsid w:val="00650C16"/>
    <w:rsid w:val="006511C7"/>
    <w:rsid w:val="00651FD7"/>
    <w:rsid w:val="00652819"/>
    <w:rsid w:val="006546A4"/>
    <w:rsid w:val="00655518"/>
    <w:rsid w:val="00656604"/>
    <w:rsid w:val="00657003"/>
    <w:rsid w:val="006601AE"/>
    <w:rsid w:val="006602CB"/>
    <w:rsid w:val="00661ADC"/>
    <w:rsid w:val="00662371"/>
    <w:rsid w:val="00663C99"/>
    <w:rsid w:val="00664140"/>
    <w:rsid w:val="006642DA"/>
    <w:rsid w:val="0066534E"/>
    <w:rsid w:val="00665FBA"/>
    <w:rsid w:val="00671B8D"/>
    <w:rsid w:val="00671D1E"/>
    <w:rsid w:val="0067204E"/>
    <w:rsid w:val="006721E3"/>
    <w:rsid w:val="006727FB"/>
    <w:rsid w:val="00672F6D"/>
    <w:rsid w:val="00672FA8"/>
    <w:rsid w:val="00673FC4"/>
    <w:rsid w:val="006746A4"/>
    <w:rsid w:val="006755BF"/>
    <w:rsid w:val="0067587C"/>
    <w:rsid w:val="00683B1B"/>
    <w:rsid w:val="00683F4F"/>
    <w:rsid w:val="006854BA"/>
    <w:rsid w:val="006855E0"/>
    <w:rsid w:val="00687E6A"/>
    <w:rsid w:val="006900C8"/>
    <w:rsid w:val="00690474"/>
    <w:rsid w:val="006914D9"/>
    <w:rsid w:val="0069338D"/>
    <w:rsid w:val="006938AF"/>
    <w:rsid w:val="00693DA1"/>
    <w:rsid w:val="00696697"/>
    <w:rsid w:val="006966E1"/>
    <w:rsid w:val="00697113"/>
    <w:rsid w:val="006976BD"/>
    <w:rsid w:val="00697D59"/>
    <w:rsid w:val="006A1687"/>
    <w:rsid w:val="006A3299"/>
    <w:rsid w:val="006A33AF"/>
    <w:rsid w:val="006A444A"/>
    <w:rsid w:val="006A5C18"/>
    <w:rsid w:val="006A725E"/>
    <w:rsid w:val="006A7281"/>
    <w:rsid w:val="006B1A52"/>
    <w:rsid w:val="006B2282"/>
    <w:rsid w:val="006B2B92"/>
    <w:rsid w:val="006B3120"/>
    <w:rsid w:val="006B3BAD"/>
    <w:rsid w:val="006B3BB0"/>
    <w:rsid w:val="006B3CF2"/>
    <w:rsid w:val="006B4D9D"/>
    <w:rsid w:val="006B5528"/>
    <w:rsid w:val="006B57F3"/>
    <w:rsid w:val="006B68AD"/>
    <w:rsid w:val="006C092E"/>
    <w:rsid w:val="006C1ACC"/>
    <w:rsid w:val="006C2A14"/>
    <w:rsid w:val="006C4490"/>
    <w:rsid w:val="006C45FF"/>
    <w:rsid w:val="006C4933"/>
    <w:rsid w:val="006C4CF6"/>
    <w:rsid w:val="006C51DE"/>
    <w:rsid w:val="006C53DA"/>
    <w:rsid w:val="006C571A"/>
    <w:rsid w:val="006C5AA9"/>
    <w:rsid w:val="006C5D12"/>
    <w:rsid w:val="006C6909"/>
    <w:rsid w:val="006C6E67"/>
    <w:rsid w:val="006D0733"/>
    <w:rsid w:val="006D084E"/>
    <w:rsid w:val="006D0E0C"/>
    <w:rsid w:val="006D1B26"/>
    <w:rsid w:val="006D2870"/>
    <w:rsid w:val="006D3921"/>
    <w:rsid w:val="006D54EF"/>
    <w:rsid w:val="006D5740"/>
    <w:rsid w:val="006D5801"/>
    <w:rsid w:val="006D5A28"/>
    <w:rsid w:val="006D6475"/>
    <w:rsid w:val="006D70CA"/>
    <w:rsid w:val="006D74C0"/>
    <w:rsid w:val="006E0522"/>
    <w:rsid w:val="006E0C5B"/>
    <w:rsid w:val="006E146B"/>
    <w:rsid w:val="006E208E"/>
    <w:rsid w:val="006E2202"/>
    <w:rsid w:val="006E2285"/>
    <w:rsid w:val="006E2776"/>
    <w:rsid w:val="006E2841"/>
    <w:rsid w:val="006E2952"/>
    <w:rsid w:val="006E2F5B"/>
    <w:rsid w:val="006E4181"/>
    <w:rsid w:val="006E4C7B"/>
    <w:rsid w:val="006E4FDC"/>
    <w:rsid w:val="006E5019"/>
    <w:rsid w:val="006E54AA"/>
    <w:rsid w:val="006E559B"/>
    <w:rsid w:val="006E7BA4"/>
    <w:rsid w:val="006E7E4B"/>
    <w:rsid w:val="006F062F"/>
    <w:rsid w:val="006F0C1C"/>
    <w:rsid w:val="006F103F"/>
    <w:rsid w:val="006F199D"/>
    <w:rsid w:val="006F20BD"/>
    <w:rsid w:val="006F26C0"/>
    <w:rsid w:val="006F295F"/>
    <w:rsid w:val="006F509A"/>
    <w:rsid w:val="006F65B2"/>
    <w:rsid w:val="006F69EA"/>
    <w:rsid w:val="006F6C4C"/>
    <w:rsid w:val="006F7452"/>
    <w:rsid w:val="00703863"/>
    <w:rsid w:val="00705601"/>
    <w:rsid w:val="0070576E"/>
    <w:rsid w:val="007057D8"/>
    <w:rsid w:val="00705DD4"/>
    <w:rsid w:val="00706003"/>
    <w:rsid w:val="00706D81"/>
    <w:rsid w:val="0070728F"/>
    <w:rsid w:val="007079E9"/>
    <w:rsid w:val="00707F30"/>
    <w:rsid w:val="00710051"/>
    <w:rsid w:val="00710EB9"/>
    <w:rsid w:val="0071289A"/>
    <w:rsid w:val="007128F0"/>
    <w:rsid w:val="00712D4B"/>
    <w:rsid w:val="00712DC8"/>
    <w:rsid w:val="0071313C"/>
    <w:rsid w:val="00713349"/>
    <w:rsid w:val="00713617"/>
    <w:rsid w:val="00713F5F"/>
    <w:rsid w:val="0071421B"/>
    <w:rsid w:val="00715395"/>
    <w:rsid w:val="00716EBC"/>
    <w:rsid w:val="00717BD2"/>
    <w:rsid w:val="007202A3"/>
    <w:rsid w:val="007209A0"/>
    <w:rsid w:val="00720D5B"/>
    <w:rsid w:val="00720FD5"/>
    <w:rsid w:val="00721E3A"/>
    <w:rsid w:val="00722CF5"/>
    <w:rsid w:val="00722FA1"/>
    <w:rsid w:val="00723938"/>
    <w:rsid w:val="00723B12"/>
    <w:rsid w:val="0072447C"/>
    <w:rsid w:val="00724CE9"/>
    <w:rsid w:val="0072619B"/>
    <w:rsid w:val="00730815"/>
    <w:rsid w:val="00730E46"/>
    <w:rsid w:val="0073121A"/>
    <w:rsid w:val="007319C3"/>
    <w:rsid w:val="00731C2D"/>
    <w:rsid w:val="00732025"/>
    <w:rsid w:val="00732F93"/>
    <w:rsid w:val="0073300A"/>
    <w:rsid w:val="007336FD"/>
    <w:rsid w:val="00734BBF"/>
    <w:rsid w:val="0073589E"/>
    <w:rsid w:val="00735AF7"/>
    <w:rsid w:val="007366A3"/>
    <w:rsid w:val="00736A14"/>
    <w:rsid w:val="00736A29"/>
    <w:rsid w:val="00743ADC"/>
    <w:rsid w:val="007447A8"/>
    <w:rsid w:val="007448D6"/>
    <w:rsid w:val="00745DBB"/>
    <w:rsid w:val="007462ED"/>
    <w:rsid w:val="007474EE"/>
    <w:rsid w:val="007478D8"/>
    <w:rsid w:val="00750093"/>
    <w:rsid w:val="007507F1"/>
    <w:rsid w:val="00752B11"/>
    <w:rsid w:val="007535FD"/>
    <w:rsid w:val="0075365F"/>
    <w:rsid w:val="00753994"/>
    <w:rsid w:val="00755246"/>
    <w:rsid w:val="007568F0"/>
    <w:rsid w:val="00756B0C"/>
    <w:rsid w:val="00756D2C"/>
    <w:rsid w:val="00757556"/>
    <w:rsid w:val="0076046D"/>
    <w:rsid w:val="00760C5E"/>
    <w:rsid w:val="00760CE4"/>
    <w:rsid w:val="0076143D"/>
    <w:rsid w:val="007615B7"/>
    <w:rsid w:val="00761BDE"/>
    <w:rsid w:val="007632C0"/>
    <w:rsid w:val="00763E00"/>
    <w:rsid w:val="00764403"/>
    <w:rsid w:val="00764752"/>
    <w:rsid w:val="00764BD2"/>
    <w:rsid w:val="00764DC1"/>
    <w:rsid w:val="00764E38"/>
    <w:rsid w:val="0076616F"/>
    <w:rsid w:val="007666E6"/>
    <w:rsid w:val="007673AE"/>
    <w:rsid w:val="00767803"/>
    <w:rsid w:val="00767C93"/>
    <w:rsid w:val="00771271"/>
    <w:rsid w:val="007714CE"/>
    <w:rsid w:val="00771B49"/>
    <w:rsid w:val="00771B72"/>
    <w:rsid w:val="00771D73"/>
    <w:rsid w:val="0077208F"/>
    <w:rsid w:val="00772F04"/>
    <w:rsid w:val="00774B87"/>
    <w:rsid w:val="00775C07"/>
    <w:rsid w:val="007762BD"/>
    <w:rsid w:val="0077656D"/>
    <w:rsid w:val="00776A21"/>
    <w:rsid w:val="0077709F"/>
    <w:rsid w:val="00780612"/>
    <w:rsid w:val="00781227"/>
    <w:rsid w:val="00782760"/>
    <w:rsid w:val="007827E1"/>
    <w:rsid w:val="00782D09"/>
    <w:rsid w:val="007833E0"/>
    <w:rsid w:val="00783B66"/>
    <w:rsid w:val="007843A0"/>
    <w:rsid w:val="00785BB3"/>
    <w:rsid w:val="00785F24"/>
    <w:rsid w:val="00787EC8"/>
    <w:rsid w:val="00790928"/>
    <w:rsid w:val="00791457"/>
    <w:rsid w:val="00791FE8"/>
    <w:rsid w:val="0079280D"/>
    <w:rsid w:val="00792F9E"/>
    <w:rsid w:val="007935BE"/>
    <w:rsid w:val="00793B6F"/>
    <w:rsid w:val="00794ADA"/>
    <w:rsid w:val="00794B8A"/>
    <w:rsid w:val="00795730"/>
    <w:rsid w:val="00796DA9"/>
    <w:rsid w:val="00796E2B"/>
    <w:rsid w:val="00797769"/>
    <w:rsid w:val="00797787"/>
    <w:rsid w:val="007A09C7"/>
    <w:rsid w:val="007A0B2E"/>
    <w:rsid w:val="007A0B48"/>
    <w:rsid w:val="007A0D61"/>
    <w:rsid w:val="007A1860"/>
    <w:rsid w:val="007A2D36"/>
    <w:rsid w:val="007A42E7"/>
    <w:rsid w:val="007A51D6"/>
    <w:rsid w:val="007A6DF1"/>
    <w:rsid w:val="007A7FAB"/>
    <w:rsid w:val="007B0693"/>
    <w:rsid w:val="007B0FAD"/>
    <w:rsid w:val="007B1328"/>
    <w:rsid w:val="007B30BD"/>
    <w:rsid w:val="007B33E8"/>
    <w:rsid w:val="007B3C1F"/>
    <w:rsid w:val="007B4112"/>
    <w:rsid w:val="007B4BE1"/>
    <w:rsid w:val="007B58CE"/>
    <w:rsid w:val="007B5FC1"/>
    <w:rsid w:val="007B6545"/>
    <w:rsid w:val="007B6747"/>
    <w:rsid w:val="007B7C9D"/>
    <w:rsid w:val="007C1C9B"/>
    <w:rsid w:val="007C2612"/>
    <w:rsid w:val="007C3679"/>
    <w:rsid w:val="007C4C89"/>
    <w:rsid w:val="007C51D1"/>
    <w:rsid w:val="007C5495"/>
    <w:rsid w:val="007C5FE1"/>
    <w:rsid w:val="007C7771"/>
    <w:rsid w:val="007D0D41"/>
    <w:rsid w:val="007D1A8E"/>
    <w:rsid w:val="007D1B2B"/>
    <w:rsid w:val="007D1F58"/>
    <w:rsid w:val="007D41C8"/>
    <w:rsid w:val="007D4D27"/>
    <w:rsid w:val="007D536E"/>
    <w:rsid w:val="007D5B8C"/>
    <w:rsid w:val="007D5D78"/>
    <w:rsid w:val="007D6108"/>
    <w:rsid w:val="007D6B43"/>
    <w:rsid w:val="007D7B3A"/>
    <w:rsid w:val="007E1185"/>
    <w:rsid w:val="007E172E"/>
    <w:rsid w:val="007E2700"/>
    <w:rsid w:val="007E312A"/>
    <w:rsid w:val="007E345D"/>
    <w:rsid w:val="007E34D1"/>
    <w:rsid w:val="007E3AB2"/>
    <w:rsid w:val="007E3CAF"/>
    <w:rsid w:val="007E4C50"/>
    <w:rsid w:val="007E5502"/>
    <w:rsid w:val="007E6394"/>
    <w:rsid w:val="007E63B7"/>
    <w:rsid w:val="007E7435"/>
    <w:rsid w:val="007F10CC"/>
    <w:rsid w:val="007F17E4"/>
    <w:rsid w:val="007F1D5E"/>
    <w:rsid w:val="007F1EC1"/>
    <w:rsid w:val="007F1EE5"/>
    <w:rsid w:val="007F20B3"/>
    <w:rsid w:val="007F285B"/>
    <w:rsid w:val="007F28D3"/>
    <w:rsid w:val="007F5D84"/>
    <w:rsid w:val="007F620E"/>
    <w:rsid w:val="007F6914"/>
    <w:rsid w:val="008010A1"/>
    <w:rsid w:val="008012D4"/>
    <w:rsid w:val="008012FC"/>
    <w:rsid w:val="00802022"/>
    <w:rsid w:val="008045F4"/>
    <w:rsid w:val="0081033F"/>
    <w:rsid w:val="00810B66"/>
    <w:rsid w:val="0081403F"/>
    <w:rsid w:val="00814696"/>
    <w:rsid w:val="00814CA6"/>
    <w:rsid w:val="00816329"/>
    <w:rsid w:val="00816B80"/>
    <w:rsid w:val="008173CB"/>
    <w:rsid w:val="00817BCD"/>
    <w:rsid w:val="00820288"/>
    <w:rsid w:val="00820B74"/>
    <w:rsid w:val="008226AF"/>
    <w:rsid w:val="00822BB6"/>
    <w:rsid w:val="00823355"/>
    <w:rsid w:val="00823634"/>
    <w:rsid w:val="008236A7"/>
    <w:rsid w:val="00826018"/>
    <w:rsid w:val="00826549"/>
    <w:rsid w:val="00826F9D"/>
    <w:rsid w:val="008309E3"/>
    <w:rsid w:val="00830C9E"/>
    <w:rsid w:val="00830CFB"/>
    <w:rsid w:val="008319B1"/>
    <w:rsid w:val="00831A3A"/>
    <w:rsid w:val="008320BE"/>
    <w:rsid w:val="00832285"/>
    <w:rsid w:val="00832912"/>
    <w:rsid w:val="0083371F"/>
    <w:rsid w:val="008360C0"/>
    <w:rsid w:val="00836F8A"/>
    <w:rsid w:val="008374B3"/>
    <w:rsid w:val="00837599"/>
    <w:rsid w:val="00840692"/>
    <w:rsid w:val="00840AE4"/>
    <w:rsid w:val="008413A4"/>
    <w:rsid w:val="00841911"/>
    <w:rsid w:val="0084274E"/>
    <w:rsid w:val="008432BA"/>
    <w:rsid w:val="0084397E"/>
    <w:rsid w:val="00844BF6"/>
    <w:rsid w:val="00844CAF"/>
    <w:rsid w:val="0084515D"/>
    <w:rsid w:val="00845C87"/>
    <w:rsid w:val="00845D26"/>
    <w:rsid w:val="00846953"/>
    <w:rsid w:val="00847487"/>
    <w:rsid w:val="00847D71"/>
    <w:rsid w:val="00850437"/>
    <w:rsid w:val="00850702"/>
    <w:rsid w:val="008515C9"/>
    <w:rsid w:val="00852E03"/>
    <w:rsid w:val="008544C1"/>
    <w:rsid w:val="00855747"/>
    <w:rsid w:val="00856469"/>
    <w:rsid w:val="00856962"/>
    <w:rsid w:val="008577FA"/>
    <w:rsid w:val="008604CA"/>
    <w:rsid w:val="00860577"/>
    <w:rsid w:val="00860DF7"/>
    <w:rsid w:val="008610EC"/>
    <w:rsid w:val="0086136D"/>
    <w:rsid w:val="008614A6"/>
    <w:rsid w:val="00861C8B"/>
    <w:rsid w:val="0086271B"/>
    <w:rsid w:val="0086453F"/>
    <w:rsid w:val="00865EA6"/>
    <w:rsid w:val="00867574"/>
    <w:rsid w:val="00870A79"/>
    <w:rsid w:val="00870BC4"/>
    <w:rsid w:val="00871FEE"/>
    <w:rsid w:val="00872999"/>
    <w:rsid w:val="00872DA9"/>
    <w:rsid w:val="0087415F"/>
    <w:rsid w:val="008755C9"/>
    <w:rsid w:val="00875946"/>
    <w:rsid w:val="00875B2A"/>
    <w:rsid w:val="00876C64"/>
    <w:rsid w:val="00880AA1"/>
    <w:rsid w:val="00880EAB"/>
    <w:rsid w:val="00881FE8"/>
    <w:rsid w:val="00883605"/>
    <w:rsid w:val="00883A33"/>
    <w:rsid w:val="00883A50"/>
    <w:rsid w:val="00884F3C"/>
    <w:rsid w:val="00884FC7"/>
    <w:rsid w:val="00886707"/>
    <w:rsid w:val="00887701"/>
    <w:rsid w:val="008879FF"/>
    <w:rsid w:val="00887CAF"/>
    <w:rsid w:val="00890032"/>
    <w:rsid w:val="00890161"/>
    <w:rsid w:val="00890CAC"/>
    <w:rsid w:val="0089241E"/>
    <w:rsid w:val="00892ADA"/>
    <w:rsid w:val="00892B6D"/>
    <w:rsid w:val="00892CC0"/>
    <w:rsid w:val="00893FF0"/>
    <w:rsid w:val="00895608"/>
    <w:rsid w:val="00897861"/>
    <w:rsid w:val="008A0986"/>
    <w:rsid w:val="008A09E8"/>
    <w:rsid w:val="008A0B87"/>
    <w:rsid w:val="008A0F85"/>
    <w:rsid w:val="008A13BB"/>
    <w:rsid w:val="008A16E3"/>
    <w:rsid w:val="008A1BF0"/>
    <w:rsid w:val="008A2ABF"/>
    <w:rsid w:val="008A2B99"/>
    <w:rsid w:val="008A2CA7"/>
    <w:rsid w:val="008A2D58"/>
    <w:rsid w:val="008A4905"/>
    <w:rsid w:val="008A493B"/>
    <w:rsid w:val="008A745C"/>
    <w:rsid w:val="008B11AB"/>
    <w:rsid w:val="008B185C"/>
    <w:rsid w:val="008B18D2"/>
    <w:rsid w:val="008B2ACE"/>
    <w:rsid w:val="008B33BA"/>
    <w:rsid w:val="008B37E6"/>
    <w:rsid w:val="008B4D87"/>
    <w:rsid w:val="008B58C5"/>
    <w:rsid w:val="008B69A9"/>
    <w:rsid w:val="008B78AA"/>
    <w:rsid w:val="008C0518"/>
    <w:rsid w:val="008C0F97"/>
    <w:rsid w:val="008C14A9"/>
    <w:rsid w:val="008C1D8D"/>
    <w:rsid w:val="008C3135"/>
    <w:rsid w:val="008C40F5"/>
    <w:rsid w:val="008C43F0"/>
    <w:rsid w:val="008C55A5"/>
    <w:rsid w:val="008C5AB7"/>
    <w:rsid w:val="008C64A8"/>
    <w:rsid w:val="008D0C5C"/>
    <w:rsid w:val="008D11F7"/>
    <w:rsid w:val="008D11FC"/>
    <w:rsid w:val="008D39A4"/>
    <w:rsid w:val="008D3A1C"/>
    <w:rsid w:val="008D4A3E"/>
    <w:rsid w:val="008D66C3"/>
    <w:rsid w:val="008D6956"/>
    <w:rsid w:val="008D7FB8"/>
    <w:rsid w:val="008E0C2E"/>
    <w:rsid w:val="008E0E7B"/>
    <w:rsid w:val="008E1C45"/>
    <w:rsid w:val="008E20D2"/>
    <w:rsid w:val="008E266B"/>
    <w:rsid w:val="008E26F3"/>
    <w:rsid w:val="008E2AD5"/>
    <w:rsid w:val="008E2CCA"/>
    <w:rsid w:val="008E32B1"/>
    <w:rsid w:val="008E4B44"/>
    <w:rsid w:val="008E5B7B"/>
    <w:rsid w:val="008E7116"/>
    <w:rsid w:val="008E778F"/>
    <w:rsid w:val="008E7976"/>
    <w:rsid w:val="008F022A"/>
    <w:rsid w:val="008F1E5B"/>
    <w:rsid w:val="008F6342"/>
    <w:rsid w:val="008F65FF"/>
    <w:rsid w:val="008F69C6"/>
    <w:rsid w:val="008F71C4"/>
    <w:rsid w:val="0090294F"/>
    <w:rsid w:val="00902B36"/>
    <w:rsid w:val="00902D66"/>
    <w:rsid w:val="009030F5"/>
    <w:rsid w:val="00904199"/>
    <w:rsid w:val="009052F7"/>
    <w:rsid w:val="00905F4A"/>
    <w:rsid w:val="0090704D"/>
    <w:rsid w:val="009110E2"/>
    <w:rsid w:val="0091188E"/>
    <w:rsid w:val="0091285F"/>
    <w:rsid w:val="009140C4"/>
    <w:rsid w:val="0091441C"/>
    <w:rsid w:val="00914C50"/>
    <w:rsid w:val="00915663"/>
    <w:rsid w:val="00916132"/>
    <w:rsid w:val="0091753E"/>
    <w:rsid w:val="00917B31"/>
    <w:rsid w:val="009210CC"/>
    <w:rsid w:val="009216E4"/>
    <w:rsid w:val="0092227E"/>
    <w:rsid w:val="0092314B"/>
    <w:rsid w:val="00923989"/>
    <w:rsid w:val="00926181"/>
    <w:rsid w:val="009300CC"/>
    <w:rsid w:val="00930727"/>
    <w:rsid w:val="009313BB"/>
    <w:rsid w:val="009316B0"/>
    <w:rsid w:val="009318FD"/>
    <w:rsid w:val="00931EF2"/>
    <w:rsid w:val="00932569"/>
    <w:rsid w:val="009327A9"/>
    <w:rsid w:val="00932DC7"/>
    <w:rsid w:val="0093340C"/>
    <w:rsid w:val="00933EDF"/>
    <w:rsid w:val="0093417D"/>
    <w:rsid w:val="009366EE"/>
    <w:rsid w:val="00940B3D"/>
    <w:rsid w:val="00940E1A"/>
    <w:rsid w:val="00942C15"/>
    <w:rsid w:val="00943879"/>
    <w:rsid w:val="009448C1"/>
    <w:rsid w:val="009467AF"/>
    <w:rsid w:val="009506F3"/>
    <w:rsid w:val="009508A3"/>
    <w:rsid w:val="0095168F"/>
    <w:rsid w:val="009517AD"/>
    <w:rsid w:val="00951D1E"/>
    <w:rsid w:val="009521B4"/>
    <w:rsid w:val="00952DF7"/>
    <w:rsid w:val="00953279"/>
    <w:rsid w:val="00953BD4"/>
    <w:rsid w:val="00953C4D"/>
    <w:rsid w:val="00953FD4"/>
    <w:rsid w:val="0095524E"/>
    <w:rsid w:val="009555A2"/>
    <w:rsid w:val="009617C1"/>
    <w:rsid w:val="0096268D"/>
    <w:rsid w:val="009636B2"/>
    <w:rsid w:val="009647BF"/>
    <w:rsid w:val="00970248"/>
    <w:rsid w:val="009716E5"/>
    <w:rsid w:val="00972215"/>
    <w:rsid w:val="009737CE"/>
    <w:rsid w:val="009737F4"/>
    <w:rsid w:val="009741DA"/>
    <w:rsid w:val="0097425F"/>
    <w:rsid w:val="00974ABD"/>
    <w:rsid w:val="0097505D"/>
    <w:rsid w:val="0097541F"/>
    <w:rsid w:val="009763FB"/>
    <w:rsid w:val="00976FDE"/>
    <w:rsid w:val="009802DE"/>
    <w:rsid w:val="009805D9"/>
    <w:rsid w:val="00980990"/>
    <w:rsid w:val="00981289"/>
    <w:rsid w:val="00981644"/>
    <w:rsid w:val="009816D0"/>
    <w:rsid w:val="00981AB5"/>
    <w:rsid w:val="0098275E"/>
    <w:rsid w:val="00982A5D"/>
    <w:rsid w:val="00983A97"/>
    <w:rsid w:val="00983B49"/>
    <w:rsid w:val="00984BC5"/>
    <w:rsid w:val="00984E0E"/>
    <w:rsid w:val="00986461"/>
    <w:rsid w:val="009868BC"/>
    <w:rsid w:val="00992864"/>
    <w:rsid w:val="00992F17"/>
    <w:rsid w:val="00993CD9"/>
    <w:rsid w:val="00994292"/>
    <w:rsid w:val="00994694"/>
    <w:rsid w:val="0099485B"/>
    <w:rsid w:val="0099520E"/>
    <w:rsid w:val="0099549C"/>
    <w:rsid w:val="009970F7"/>
    <w:rsid w:val="0099771F"/>
    <w:rsid w:val="009A09F8"/>
    <w:rsid w:val="009A16C2"/>
    <w:rsid w:val="009A2AED"/>
    <w:rsid w:val="009A2E7E"/>
    <w:rsid w:val="009A30C5"/>
    <w:rsid w:val="009A34B2"/>
    <w:rsid w:val="009A3596"/>
    <w:rsid w:val="009A392A"/>
    <w:rsid w:val="009A3ACC"/>
    <w:rsid w:val="009A3C21"/>
    <w:rsid w:val="009A5B9D"/>
    <w:rsid w:val="009A6B8B"/>
    <w:rsid w:val="009A6EEA"/>
    <w:rsid w:val="009B0B38"/>
    <w:rsid w:val="009B290A"/>
    <w:rsid w:val="009B345B"/>
    <w:rsid w:val="009B3F73"/>
    <w:rsid w:val="009B4D74"/>
    <w:rsid w:val="009B5C3E"/>
    <w:rsid w:val="009B6453"/>
    <w:rsid w:val="009B6703"/>
    <w:rsid w:val="009B7728"/>
    <w:rsid w:val="009C0ECE"/>
    <w:rsid w:val="009C24E3"/>
    <w:rsid w:val="009C3A13"/>
    <w:rsid w:val="009C63D2"/>
    <w:rsid w:val="009C6993"/>
    <w:rsid w:val="009D10C5"/>
    <w:rsid w:val="009D309A"/>
    <w:rsid w:val="009D3926"/>
    <w:rsid w:val="009D6013"/>
    <w:rsid w:val="009D7639"/>
    <w:rsid w:val="009E0A08"/>
    <w:rsid w:val="009E3866"/>
    <w:rsid w:val="009E67B1"/>
    <w:rsid w:val="009E6870"/>
    <w:rsid w:val="009E7FED"/>
    <w:rsid w:val="009F0979"/>
    <w:rsid w:val="009F260B"/>
    <w:rsid w:val="009F2820"/>
    <w:rsid w:val="009F2B6B"/>
    <w:rsid w:val="009F3C38"/>
    <w:rsid w:val="009F4320"/>
    <w:rsid w:val="009F54F3"/>
    <w:rsid w:val="009F5AA8"/>
    <w:rsid w:val="009F5C91"/>
    <w:rsid w:val="009F63F4"/>
    <w:rsid w:val="009F7439"/>
    <w:rsid w:val="00A00593"/>
    <w:rsid w:val="00A00962"/>
    <w:rsid w:val="00A00D66"/>
    <w:rsid w:val="00A01342"/>
    <w:rsid w:val="00A018AD"/>
    <w:rsid w:val="00A01EEC"/>
    <w:rsid w:val="00A02AAE"/>
    <w:rsid w:val="00A02FDA"/>
    <w:rsid w:val="00A034AC"/>
    <w:rsid w:val="00A04BA4"/>
    <w:rsid w:val="00A05A38"/>
    <w:rsid w:val="00A06424"/>
    <w:rsid w:val="00A06FD4"/>
    <w:rsid w:val="00A07832"/>
    <w:rsid w:val="00A10F15"/>
    <w:rsid w:val="00A11F71"/>
    <w:rsid w:val="00A135F2"/>
    <w:rsid w:val="00A13CAD"/>
    <w:rsid w:val="00A14593"/>
    <w:rsid w:val="00A14CB9"/>
    <w:rsid w:val="00A208C5"/>
    <w:rsid w:val="00A2113D"/>
    <w:rsid w:val="00A22E17"/>
    <w:rsid w:val="00A2357B"/>
    <w:rsid w:val="00A23A98"/>
    <w:rsid w:val="00A23D6E"/>
    <w:rsid w:val="00A242B3"/>
    <w:rsid w:val="00A245B9"/>
    <w:rsid w:val="00A27324"/>
    <w:rsid w:val="00A276A2"/>
    <w:rsid w:val="00A27F5D"/>
    <w:rsid w:val="00A330A3"/>
    <w:rsid w:val="00A33F3D"/>
    <w:rsid w:val="00A34467"/>
    <w:rsid w:val="00A344D7"/>
    <w:rsid w:val="00A366F1"/>
    <w:rsid w:val="00A368C5"/>
    <w:rsid w:val="00A3726D"/>
    <w:rsid w:val="00A37872"/>
    <w:rsid w:val="00A401C2"/>
    <w:rsid w:val="00A40A50"/>
    <w:rsid w:val="00A40BA2"/>
    <w:rsid w:val="00A41379"/>
    <w:rsid w:val="00A4165F"/>
    <w:rsid w:val="00A41ED7"/>
    <w:rsid w:val="00A4262E"/>
    <w:rsid w:val="00A42F75"/>
    <w:rsid w:val="00A433D5"/>
    <w:rsid w:val="00A4489C"/>
    <w:rsid w:val="00A44D8D"/>
    <w:rsid w:val="00A46DFC"/>
    <w:rsid w:val="00A46F6B"/>
    <w:rsid w:val="00A52136"/>
    <w:rsid w:val="00A521D1"/>
    <w:rsid w:val="00A54055"/>
    <w:rsid w:val="00A54158"/>
    <w:rsid w:val="00A5502C"/>
    <w:rsid w:val="00A568FA"/>
    <w:rsid w:val="00A57188"/>
    <w:rsid w:val="00A571E5"/>
    <w:rsid w:val="00A61CC7"/>
    <w:rsid w:val="00A6234C"/>
    <w:rsid w:val="00A62F11"/>
    <w:rsid w:val="00A6396F"/>
    <w:rsid w:val="00A650BB"/>
    <w:rsid w:val="00A65545"/>
    <w:rsid w:val="00A66AC0"/>
    <w:rsid w:val="00A66B9C"/>
    <w:rsid w:val="00A67356"/>
    <w:rsid w:val="00A70A2D"/>
    <w:rsid w:val="00A71623"/>
    <w:rsid w:val="00A73C01"/>
    <w:rsid w:val="00A7430F"/>
    <w:rsid w:val="00A74D8F"/>
    <w:rsid w:val="00A75FF7"/>
    <w:rsid w:val="00A77115"/>
    <w:rsid w:val="00A776D9"/>
    <w:rsid w:val="00A80114"/>
    <w:rsid w:val="00A8080C"/>
    <w:rsid w:val="00A81423"/>
    <w:rsid w:val="00A819C8"/>
    <w:rsid w:val="00A81A3B"/>
    <w:rsid w:val="00A81D0C"/>
    <w:rsid w:val="00A825AA"/>
    <w:rsid w:val="00A83F6A"/>
    <w:rsid w:val="00A83F9A"/>
    <w:rsid w:val="00A8526D"/>
    <w:rsid w:val="00A86237"/>
    <w:rsid w:val="00A86570"/>
    <w:rsid w:val="00A879BC"/>
    <w:rsid w:val="00A87C59"/>
    <w:rsid w:val="00A91A6E"/>
    <w:rsid w:val="00A93126"/>
    <w:rsid w:val="00A931A1"/>
    <w:rsid w:val="00A93383"/>
    <w:rsid w:val="00A93763"/>
    <w:rsid w:val="00A952F0"/>
    <w:rsid w:val="00A97492"/>
    <w:rsid w:val="00A97F1A"/>
    <w:rsid w:val="00AA0EBF"/>
    <w:rsid w:val="00AA210D"/>
    <w:rsid w:val="00AA2150"/>
    <w:rsid w:val="00AA2BDD"/>
    <w:rsid w:val="00AA3D73"/>
    <w:rsid w:val="00AA46E4"/>
    <w:rsid w:val="00AA4827"/>
    <w:rsid w:val="00AA4880"/>
    <w:rsid w:val="00AA4D67"/>
    <w:rsid w:val="00AA5B99"/>
    <w:rsid w:val="00AA6D02"/>
    <w:rsid w:val="00AA6F4F"/>
    <w:rsid w:val="00AA7598"/>
    <w:rsid w:val="00AA7832"/>
    <w:rsid w:val="00AA7C14"/>
    <w:rsid w:val="00AA7C51"/>
    <w:rsid w:val="00AB4B07"/>
    <w:rsid w:val="00AB5AAD"/>
    <w:rsid w:val="00AB5ECB"/>
    <w:rsid w:val="00AB6CC9"/>
    <w:rsid w:val="00AB736B"/>
    <w:rsid w:val="00AB79E4"/>
    <w:rsid w:val="00AB7C72"/>
    <w:rsid w:val="00AB7CB8"/>
    <w:rsid w:val="00AB7DE1"/>
    <w:rsid w:val="00AC158C"/>
    <w:rsid w:val="00AC195F"/>
    <w:rsid w:val="00AC1E7E"/>
    <w:rsid w:val="00AC1F7E"/>
    <w:rsid w:val="00AC2A17"/>
    <w:rsid w:val="00AC2DE6"/>
    <w:rsid w:val="00AC3482"/>
    <w:rsid w:val="00AC3F84"/>
    <w:rsid w:val="00AC49F7"/>
    <w:rsid w:val="00AC697F"/>
    <w:rsid w:val="00AD06B6"/>
    <w:rsid w:val="00AD11F4"/>
    <w:rsid w:val="00AD1509"/>
    <w:rsid w:val="00AD1556"/>
    <w:rsid w:val="00AD1BED"/>
    <w:rsid w:val="00AD24C8"/>
    <w:rsid w:val="00AD3805"/>
    <w:rsid w:val="00AD4722"/>
    <w:rsid w:val="00AD5815"/>
    <w:rsid w:val="00AD59D4"/>
    <w:rsid w:val="00AD71D4"/>
    <w:rsid w:val="00AD7D70"/>
    <w:rsid w:val="00AD7E71"/>
    <w:rsid w:val="00AE0E4A"/>
    <w:rsid w:val="00AE11F7"/>
    <w:rsid w:val="00AE1751"/>
    <w:rsid w:val="00AE412E"/>
    <w:rsid w:val="00AE5A93"/>
    <w:rsid w:val="00AE6847"/>
    <w:rsid w:val="00AE6F05"/>
    <w:rsid w:val="00AE7412"/>
    <w:rsid w:val="00AE794D"/>
    <w:rsid w:val="00AF2164"/>
    <w:rsid w:val="00AF2901"/>
    <w:rsid w:val="00AF2AC6"/>
    <w:rsid w:val="00AF2FE8"/>
    <w:rsid w:val="00AF30C8"/>
    <w:rsid w:val="00AF4CB2"/>
    <w:rsid w:val="00AF4E1E"/>
    <w:rsid w:val="00AF4F64"/>
    <w:rsid w:val="00AF5BFE"/>
    <w:rsid w:val="00AF7630"/>
    <w:rsid w:val="00AF7EA1"/>
    <w:rsid w:val="00B013F9"/>
    <w:rsid w:val="00B01C9F"/>
    <w:rsid w:val="00B0227C"/>
    <w:rsid w:val="00B025A5"/>
    <w:rsid w:val="00B0327A"/>
    <w:rsid w:val="00B04121"/>
    <w:rsid w:val="00B04932"/>
    <w:rsid w:val="00B05223"/>
    <w:rsid w:val="00B05599"/>
    <w:rsid w:val="00B05FC9"/>
    <w:rsid w:val="00B06335"/>
    <w:rsid w:val="00B073C4"/>
    <w:rsid w:val="00B10D09"/>
    <w:rsid w:val="00B11CAC"/>
    <w:rsid w:val="00B11DAA"/>
    <w:rsid w:val="00B120FF"/>
    <w:rsid w:val="00B12E63"/>
    <w:rsid w:val="00B13037"/>
    <w:rsid w:val="00B14719"/>
    <w:rsid w:val="00B1513C"/>
    <w:rsid w:val="00B15258"/>
    <w:rsid w:val="00B153EE"/>
    <w:rsid w:val="00B16F5C"/>
    <w:rsid w:val="00B21AEA"/>
    <w:rsid w:val="00B23563"/>
    <w:rsid w:val="00B235CE"/>
    <w:rsid w:val="00B241F2"/>
    <w:rsid w:val="00B24A27"/>
    <w:rsid w:val="00B24E96"/>
    <w:rsid w:val="00B262C0"/>
    <w:rsid w:val="00B269E6"/>
    <w:rsid w:val="00B26B25"/>
    <w:rsid w:val="00B26F7D"/>
    <w:rsid w:val="00B27010"/>
    <w:rsid w:val="00B2778F"/>
    <w:rsid w:val="00B30628"/>
    <w:rsid w:val="00B31526"/>
    <w:rsid w:val="00B31CF6"/>
    <w:rsid w:val="00B33F5D"/>
    <w:rsid w:val="00B3416E"/>
    <w:rsid w:val="00B3624A"/>
    <w:rsid w:val="00B37787"/>
    <w:rsid w:val="00B4506D"/>
    <w:rsid w:val="00B45F0C"/>
    <w:rsid w:val="00B47B78"/>
    <w:rsid w:val="00B50C1A"/>
    <w:rsid w:val="00B51D09"/>
    <w:rsid w:val="00B521C3"/>
    <w:rsid w:val="00B52922"/>
    <w:rsid w:val="00B52A3A"/>
    <w:rsid w:val="00B540E4"/>
    <w:rsid w:val="00B541DD"/>
    <w:rsid w:val="00B542C0"/>
    <w:rsid w:val="00B5496F"/>
    <w:rsid w:val="00B55900"/>
    <w:rsid w:val="00B56378"/>
    <w:rsid w:val="00B5649D"/>
    <w:rsid w:val="00B567E5"/>
    <w:rsid w:val="00B56960"/>
    <w:rsid w:val="00B570E3"/>
    <w:rsid w:val="00B5773A"/>
    <w:rsid w:val="00B61130"/>
    <w:rsid w:val="00B611D0"/>
    <w:rsid w:val="00B63037"/>
    <w:rsid w:val="00B6343E"/>
    <w:rsid w:val="00B637A4"/>
    <w:rsid w:val="00B63D96"/>
    <w:rsid w:val="00B65BD6"/>
    <w:rsid w:val="00B6615C"/>
    <w:rsid w:val="00B6664B"/>
    <w:rsid w:val="00B66EDF"/>
    <w:rsid w:val="00B6711D"/>
    <w:rsid w:val="00B67803"/>
    <w:rsid w:val="00B67A6F"/>
    <w:rsid w:val="00B70A8A"/>
    <w:rsid w:val="00B70E8E"/>
    <w:rsid w:val="00B72268"/>
    <w:rsid w:val="00B72763"/>
    <w:rsid w:val="00B73D64"/>
    <w:rsid w:val="00B759F6"/>
    <w:rsid w:val="00B807BF"/>
    <w:rsid w:val="00B81579"/>
    <w:rsid w:val="00B824C5"/>
    <w:rsid w:val="00B82799"/>
    <w:rsid w:val="00B8285E"/>
    <w:rsid w:val="00B82906"/>
    <w:rsid w:val="00B829CC"/>
    <w:rsid w:val="00B83ACA"/>
    <w:rsid w:val="00B850C8"/>
    <w:rsid w:val="00B85974"/>
    <w:rsid w:val="00B90A3B"/>
    <w:rsid w:val="00B93BE6"/>
    <w:rsid w:val="00B943FB"/>
    <w:rsid w:val="00B94EC3"/>
    <w:rsid w:val="00B951AD"/>
    <w:rsid w:val="00B958D4"/>
    <w:rsid w:val="00B95EC9"/>
    <w:rsid w:val="00B97009"/>
    <w:rsid w:val="00B97786"/>
    <w:rsid w:val="00B97B14"/>
    <w:rsid w:val="00BA038B"/>
    <w:rsid w:val="00BA04FB"/>
    <w:rsid w:val="00BA1280"/>
    <w:rsid w:val="00BA1EA4"/>
    <w:rsid w:val="00BA1F37"/>
    <w:rsid w:val="00BA3F6E"/>
    <w:rsid w:val="00BA45A9"/>
    <w:rsid w:val="00BA4F31"/>
    <w:rsid w:val="00BA581B"/>
    <w:rsid w:val="00BA7A91"/>
    <w:rsid w:val="00BB00F3"/>
    <w:rsid w:val="00BB0C56"/>
    <w:rsid w:val="00BB0C8C"/>
    <w:rsid w:val="00BB0C97"/>
    <w:rsid w:val="00BB0E30"/>
    <w:rsid w:val="00BB152B"/>
    <w:rsid w:val="00BB342B"/>
    <w:rsid w:val="00BB3794"/>
    <w:rsid w:val="00BB476B"/>
    <w:rsid w:val="00BB4949"/>
    <w:rsid w:val="00BB4F88"/>
    <w:rsid w:val="00BB5F78"/>
    <w:rsid w:val="00BB6BBD"/>
    <w:rsid w:val="00BC16E9"/>
    <w:rsid w:val="00BC1A5F"/>
    <w:rsid w:val="00BC1BED"/>
    <w:rsid w:val="00BC46EE"/>
    <w:rsid w:val="00BC4993"/>
    <w:rsid w:val="00BC66D5"/>
    <w:rsid w:val="00BC71B2"/>
    <w:rsid w:val="00BC7566"/>
    <w:rsid w:val="00BC7EDA"/>
    <w:rsid w:val="00BC7F4C"/>
    <w:rsid w:val="00BD1011"/>
    <w:rsid w:val="00BD10C1"/>
    <w:rsid w:val="00BD13B8"/>
    <w:rsid w:val="00BD1427"/>
    <w:rsid w:val="00BD21AC"/>
    <w:rsid w:val="00BD287D"/>
    <w:rsid w:val="00BD4125"/>
    <w:rsid w:val="00BD416A"/>
    <w:rsid w:val="00BD49E7"/>
    <w:rsid w:val="00BD57D3"/>
    <w:rsid w:val="00BD6D20"/>
    <w:rsid w:val="00BD6EFB"/>
    <w:rsid w:val="00BD79D4"/>
    <w:rsid w:val="00BE0BBC"/>
    <w:rsid w:val="00BE0C03"/>
    <w:rsid w:val="00BE0F02"/>
    <w:rsid w:val="00BE16D2"/>
    <w:rsid w:val="00BE3354"/>
    <w:rsid w:val="00BE5731"/>
    <w:rsid w:val="00BE615D"/>
    <w:rsid w:val="00BF1422"/>
    <w:rsid w:val="00BF2717"/>
    <w:rsid w:val="00BF2924"/>
    <w:rsid w:val="00BF29A7"/>
    <w:rsid w:val="00BF3DFD"/>
    <w:rsid w:val="00BF67A7"/>
    <w:rsid w:val="00BF6AFD"/>
    <w:rsid w:val="00BF7001"/>
    <w:rsid w:val="00BF75D0"/>
    <w:rsid w:val="00C00832"/>
    <w:rsid w:val="00C01060"/>
    <w:rsid w:val="00C02FCA"/>
    <w:rsid w:val="00C03378"/>
    <w:rsid w:val="00C03674"/>
    <w:rsid w:val="00C03A9E"/>
    <w:rsid w:val="00C047B5"/>
    <w:rsid w:val="00C0552B"/>
    <w:rsid w:val="00C0578B"/>
    <w:rsid w:val="00C06354"/>
    <w:rsid w:val="00C06DF7"/>
    <w:rsid w:val="00C07B24"/>
    <w:rsid w:val="00C07DAE"/>
    <w:rsid w:val="00C10A62"/>
    <w:rsid w:val="00C11848"/>
    <w:rsid w:val="00C15574"/>
    <w:rsid w:val="00C157E6"/>
    <w:rsid w:val="00C15E5C"/>
    <w:rsid w:val="00C171B5"/>
    <w:rsid w:val="00C17294"/>
    <w:rsid w:val="00C17CD1"/>
    <w:rsid w:val="00C20682"/>
    <w:rsid w:val="00C20E45"/>
    <w:rsid w:val="00C210FA"/>
    <w:rsid w:val="00C21341"/>
    <w:rsid w:val="00C214BA"/>
    <w:rsid w:val="00C214BF"/>
    <w:rsid w:val="00C2259A"/>
    <w:rsid w:val="00C23539"/>
    <w:rsid w:val="00C23B72"/>
    <w:rsid w:val="00C2453E"/>
    <w:rsid w:val="00C25520"/>
    <w:rsid w:val="00C2634B"/>
    <w:rsid w:val="00C27BF5"/>
    <w:rsid w:val="00C3084B"/>
    <w:rsid w:val="00C32322"/>
    <w:rsid w:val="00C32C62"/>
    <w:rsid w:val="00C33298"/>
    <w:rsid w:val="00C33949"/>
    <w:rsid w:val="00C34B4F"/>
    <w:rsid w:val="00C36BD6"/>
    <w:rsid w:val="00C37F32"/>
    <w:rsid w:val="00C41224"/>
    <w:rsid w:val="00C421CD"/>
    <w:rsid w:val="00C423D5"/>
    <w:rsid w:val="00C4248A"/>
    <w:rsid w:val="00C424D6"/>
    <w:rsid w:val="00C444F2"/>
    <w:rsid w:val="00C44BA7"/>
    <w:rsid w:val="00C44EB0"/>
    <w:rsid w:val="00C455A9"/>
    <w:rsid w:val="00C46762"/>
    <w:rsid w:val="00C4706F"/>
    <w:rsid w:val="00C4762A"/>
    <w:rsid w:val="00C47873"/>
    <w:rsid w:val="00C47AB2"/>
    <w:rsid w:val="00C51615"/>
    <w:rsid w:val="00C52202"/>
    <w:rsid w:val="00C529D7"/>
    <w:rsid w:val="00C540C2"/>
    <w:rsid w:val="00C544EA"/>
    <w:rsid w:val="00C55D01"/>
    <w:rsid w:val="00C56210"/>
    <w:rsid w:val="00C563EC"/>
    <w:rsid w:val="00C563F1"/>
    <w:rsid w:val="00C56AC7"/>
    <w:rsid w:val="00C57D40"/>
    <w:rsid w:val="00C57FF7"/>
    <w:rsid w:val="00C60724"/>
    <w:rsid w:val="00C618B3"/>
    <w:rsid w:val="00C618CB"/>
    <w:rsid w:val="00C632C0"/>
    <w:rsid w:val="00C64580"/>
    <w:rsid w:val="00C64927"/>
    <w:rsid w:val="00C65CDD"/>
    <w:rsid w:val="00C66782"/>
    <w:rsid w:val="00C67E03"/>
    <w:rsid w:val="00C70409"/>
    <w:rsid w:val="00C72ABC"/>
    <w:rsid w:val="00C72B4B"/>
    <w:rsid w:val="00C74426"/>
    <w:rsid w:val="00C76C0D"/>
    <w:rsid w:val="00C76DF5"/>
    <w:rsid w:val="00C76EB8"/>
    <w:rsid w:val="00C77A5D"/>
    <w:rsid w:val="00C77AFB"/>
    <w:rsid w:val="00C77C2F"/>
    <w:rsid w:val="00C80AFD"/>
    <w:rsid w:val="00C81398"/>
    <w:rsid w:val="00C823FB"/>
    <w:rsid w:val="00C838DE"/>
    <w:rsid w:val="00C84A2D"/>
    <w:rsid w:val="00C855BF"/>
    <w:rsid w:val="00C86300"/>
    <w:rsid w:val="00C90BF7"/>
    <w:rsid w:val="00C910BD"/>
    <w:rsid w:val="00C92205"/>
    <w:rsid w:val="00C92F24"/>
    <w:rsid w:val="00C935BE"/>
    <w:rsid w:val="00C96CE4"/>
    <w:rsid w:val="00C97726"/>
    <w:rsid w:val="00CA17BA"/>
    <w:rsid w:val="00CA3293"/>
    <w:rsid w:val="00CA3394"/>
    <w:rsid w:val="00CA37C1"/>
    <w:rsid w:val="00CA3C5B"/>
    <w:rsid w:val="00CA53CA"/>
    <w:rsid w:val="00CA5D02"/>
    <w:rsid w:val="00CA746D"/>
    <w:rsid w:val="00CB0407"/>
    <w:rsid w:val="00CB062C"/>
    <w:rsid w:val="00CB08B6"/>
    <w:rsid w:val="00CB0FDA"/>
    <w:rsid w:val="00CB205F"/>
    <w:rsid w:val="00CB2262"/>
    <w:rsid w:val="00CB25B1"/>
    <w:rsid w:val="00CB3845"/>
    <w:rsid w:val="00CB400C"/>
    <w:rsid w:val="00CB67A7"/>
    <w:rsid w:val="00CC00B7"/>
    <w:rsid w:val="00CC068F"/>
    <w:rsid w:val="00CC0B80"/>
    <w:rsid w:val="00CC2A4F"/>
    <w:rsid w:val="00CC459F"/>
    <w:rsid w:val="00CC4C10"/>
    <w:rsid w:val="00CC56F9"/>
    <w:rsid w:val="00CC5A6B"/>
    <w:rsid w:val="00CC5B9D"/>
    <w:rsid w:val="00CC66B2"/>
    <w:rsid w:val="00CD0695"/>
    <w:rsid w:val="00CD25B2"/>
    <w:rsid w:val="00CD2CBF"/>
    <w:rsid w:val="00CD36DF"/>
    <w:rsid w:val="00CD409C"/>
    <w:rsid w:val="00CD43F7"/>
    <w:rsid w:val="00CD680E"/>
    <w:rsid w:val="00CD7162"/>
    <w:rsid w:val="00CE1D7D"/>
    <w:rsid w:val="00CE4822"/>
    <w:rsid w:val="00CE5A55"/>
    <w:rsid w:val="00CE6174"/>
    <w:rsid w:val="00CE6436"/>
    <w:rsid w:val="00CE7198"/>
    <w:rsid w:val="00CE7741"/>
    <w:rsid w:val="00CE7B9C"/>
    <w:rsid w:val="00CF050D"/>
    <w:rsid w:val="00CF0C1E"/>
    <w:rsid w:val="00CF137E"/>
    <w:rsid w:val="00CF29AC"/>
    <w:rsid w:val="00CF383B"/>
    <w:rsid w:val="00D00117"/>
    <w:rsid w:val="00D00129"/>
    <w:rsid w:val="00D003E3"/>
    <w:rsid w:val="00D00613"/>
    <w:rsid w:val="00D01DA1"/>
    <w:rsid w:val="00D0225A"/>
    <w:rsid w:val="00D02B2F"/>
    <w:rsid w:val="00D02BB8"/>
    <w:rsid w:val="00D03111"/>
    <w:rsid w:val="00D0328A"/>
    <w:rsid w:val="00D04505"/>
    <w:rsid w:val="00D047EA"/>
    <w:rsid w:val="00D04B8B"/>
    <w:rsid w:val="00D05C16"/>
    <w:rsid w:val="00D05EBF"/>
    <w:rsid w:val="00D06E8C"/>
    <w:rsid w:val="00D07EA9"/>
    <w:rsid w:val="00D101F0"/>
    <w:rsid w:val="00D10ACC"/>
    <w:rsid w:val="00D10E38"/>
    <w:rsid w:val="00D111D4"/>
    <w:rsid w:val="00D12FD8"/>
    <w:rsid w:val="00D13936"/>
    <w:rsid w:val="00D15649"/>
    <w:rsid w:val="00D1593A"/>
    <w:rsid w:val="00D15E51"/>
    <w:rsid w:val="00D1750B"/>
    <w:rsid w:val="00D205FB"/>
    <w:rsid w:val="00D22E80"/>
    <w:rsid w:val="00D2310A"/>
    <w:rsid w:val="00D2315A"/>
    <w:rsid w:val="00D256E3"/>
    <w:rsid w:val="00D25823"/>
    <w:rsid w:val="00D271C9"/>
    <w:rsid w:val="00D27ADF"/>
    <w:rsid w:val="00D318FF"/>
    <w:rsid w:val="00D31EAF"/>
    <w:rsid w:val="00D32CEC"/>
    <w:rsid w:val="00D3330E"/>
    <w:rsid w:val="00D33A0E"/>
    <w:rsid w:val="00D34252"/>
    <w:rsid w:val="00D34518"/>
    <w:rsid w:val="00D34918"/>
    <w:rsid w:val="00D35E26"/>
    <w:rsid w:val="00D36BAC"/>
    <w:rsid w:val="00D4022C"/>
    <w:rsid w:val="00D408FD"/>
    <w:rsid w:val="00D40F95"/>
    <w:rsid w:val="00D4134B"/>
    <w:rsid w:val="00D41577"/>
    <w:rsid w:val="00D42D03"/>
    <w:rsid w:val="00D43706"/>
    <w:rsid w:val="00D449CB"/>
    <w:rsid w:val="00D44ADE"/>
    <w:rsid w:val="00D4635E"/>
    <w:rsid w:val="00D50915"/>
    <w:rsid w:val="00D50DD3"/>
    <w:rsid w:val="00D50F83"/>
    <w:rsid w:val="00D516EE"/>
    <w:rsid w:val="00D52886"/>
    <w:rsid w:val="00D52CBB"/>
    <w:rsid w:val="00D537B7"/>
    <w:rsid w:val="00D54479"/>
    <w:rsid w:val="00D56648"/>
    <w:rsid w:val="00D6192B"/>
    <w:rsid w:val="00D629B5"/>
    <w:rsid w:val="00D6373E"/>
    <w:rsid w:val="00D644C7"/>
    <w:rsid w:val="00D6566C"/>
    <w:rsid w:val="00D671D9"/>
    <w:rsid w:val="00D67214"/>
    <w:rsid w:val="00D70372"/>
    <w:rsid w:val="00D71E84"/>
    <w:rsid w:val="00D72DC7"/>
    <w:rsid w:val="00D731ED"/>
    <w:rsid w:val="00D73379"/>
    <w:rsid w:val="00D73599"/>
    <w:rsid w:val="00D73A0B"/>
    <w:rsid w:val="00D73DDE"/>
    <w:rsid w:val="00D74460"/>
    <w:rsid w:val="00D74B4B"/>
    <w:rsid w:val="00D74DC9"/>
    <w:rsid w:val="00D766DB"/>
    <w:rsid w:val="00D76BBC"/>
    <w:rsid w:val="00D77E18"/>
    <w:rsid w:val="00D77F76"/>
    <w:rsid w:val="00D81851"/>
    <w:rsid w:val="00D8328C"/>
    <w:rsid w:val="00D83DC2"/>
    <w:rsid w:val="00D83F71"/>
    <w:rsid w:val="00D84901"/>
    <w:rsid w:val="00D862CD"/>
    <w:rsid w:val="00D86C3B"/>
    <w:rsid w:val="00D87090"/>
    <w:rsid w:val="00D8791C"/>
    <w:rsid w:val="00D9136A"/>
    <w:rsid w:val="00D94491"/>
    <w:rsid w:val="00D9466B"/>
    <w:rsid w:val="00D94A4E"/>
    <w:rsid w:val="00D958E7"/>
    <w:rsid w:val="00D95AC5"/>
    <w:rsid w:val="00D960E2"/>
    <w:rsid w:val="00D967C1"/>
    <w:rsid w:val="00D976DE"/>
    <w:rsid w:val="00D977C4"/>
    <w:rsid w:val="00DA1C7A"/>
    <w:rsid w:val="00DA22E6"/>
    <w:rsid w:val="00DA2DBC"/>
    <w:rsid w:val="00DA3880"/>
    <w:rsid w:val="00DA4919"/>
    <w:rsid w:val="00DA5AA4"/>
    <w:rsid w:val="00DA6567"/>
    <w:rsid w:val="00DA6D36"/>
    <w:rsid w:val="00DA6EFF"/>
    <w:rsid w:val="00DB06E0"/>
    <w:rsid w:val="00DB1270"/>
    <w:rsid w:val="00DB14D4"/>
    <w:rsid w:val="00DB19FF"/>
    <w:rsid w:val="00DB1BF1"/>
    <w:rsid w:val="00DB2B3D"/>
    <w:rsid w:val="00DB347D"/>
    <w:rsid w:val="00DB3B33"/>
    <w:rsid w:val="00DB3E5D"/>
    <w:rsid w:val="00DB471A"/>
    <w:rsid w:val="00DB47E7"/>
    <w:rsid w:val="00DB51E8"/>
    <w:rsid w:val="00DB5F1E"/>
    <w:rsid w:val="00DB6835"/>
    <w:rsid w:val="00DB6D5E"/>
    <w:rsid w:val="00DB7248"/>
    <w:rsid w:val="00DC0B90"/>
    <w:rsid w:val="00DC10DC"/>
    <w:rsid w:val="00DC1BFC"/>
    <w:rsid w:val="00DC1EE7"/>
    <w:rsid w:val="00DC32A6"/>
    <w:rsid w:val="00DC34A9"/>
    <w:rsid w:val="00DC39C8"/>
    <w:rsid w:val="00DC444C"/>
    <w:rsid w:val="00DC451F"/>
    <w:rsid w:val="00DC53FA"/>
    <w:rsid w:val="00DC6925"/>
    <w:rsid w:val="00DC6C0E"/>
    <w:rsid w:val="00DC7008"/>
    <w:rsid w:val="00DC71E9"/>
    <w:rsid w:val="00DC7642"/>
    <w:rsid w:val="00DC79E2"/>
    <w:rsid w:val="00DD09F2"/>
    <w:rsid w:val="00DD0DA8"/>
    <w:rsid w:val="00DD0DD6"/>
    <w:rsid w:val="00DD183B"/>
    <w:rsid w:val="00DD244E"/>
    <w:rsid w:val="00DD2891"/>
    <w:rsid w:val="00DD2AAD"/>
    <w:rsid w:val="00DD3CBD"/>
    <w:rsid w:val="00DD58C1"/>
    <w:rsid w:val="00DD7345"/>
    <w:rsid w:val="00DD767D"/>
    <w:rsid w:val="00DD7E27"/>
    <w:rsid w:val="00DE0693"/>
    <w:rsid w:val="00DE09E3"/>
    <w:rsid w:val="00DE1650"/>
    <w:rsid w:val="00DE1FC0"/>
    <w:rsid w:val="00DE24A5"/>
    <w:rsid w:val="00DE2DD1"/>
    <w:rsid w:val="00DE38C4"/>
    <w:rsid w:val="00DE3A26"/>
    <w:rsid w:val="00DE5978"/>
    <w:rsid w:val="00DE5ADD"/>
    <w:rsid w:val="00DE5D22"/>
    <w:rsid w:val="00DE62C8"/>
    <w:rsid w:val="00DE7AFE"/>
    <w:rsid w:val="00DE7BF8"/>
    <w:rsid w:val="00DF0541"/>
    <w:rsid w:val="00DF456A"/>
    <w:rsid w:val="00DF4C44"/>
    <w:rsid w:val="00E01A9E"/>
    <w:rsid w:val="00E01FF3"/>
    <w:rsid w:val="00E020B7"/>
    <w:rsid w:val="00E02649"/>
    <w:rsid w:val="00E0721D"/>
    <w:rsid w:val="00E104AC"/>
    <w:rsid w:val="00E104D8"/>
    <w:rsid w:val="00E10610"/>
    <w:rsid w:val="00E108CF"/>
    <w:rsid w:val="00E10CF9"/>
    <w:rsid w:val="00E11D54"/>
    <w:rsid w:val="00E1259E"/>
    <w:rsid w:val="00E12B20"/>
    <w:rsid w:val="00E12D4D"/>
    <w:rsid w:val="00E159EC"/>
    <w:rsid w:val="00E16857"/>
    <w:rsid w:val="00E21CA0"/>
    <w:rsid w:val="00E21D4E"/>
    <w:rsid w:val="00E22EE4"/>
    <w:rsid w:val="00E236A5"/>
    <w:rsid w:val="00E2375A"/>
    <w:rsid w:val="00E247CB"/>
    <w:rsid w:val="00E250A7"/>
    <w:rsid w:val="00E27293"/>
    <w:rsid w:val="00E276B8"/>
    <w:rsid w:val="00E27F9E"/>
    <w:rsid w:val="00E301BF"/>
    <w:rsid w:val="00E3072C"/>
    <w:rsid w:val="00E3083B"/>
    <w:rsid w:val="00E31A2B"/>
    <w:rsid w:val="00E31A82"/>
    <w:rsid w:val="00E3316A"/>
    <w:rsid w:val="00E3350A"/>
    <w:rsid w:val="00E35A53"/>
    <w:rsid w:val="00E36CCE"/>
    <w:rsid w:val="00E3705B"/>
    <w:rsid w:val="00E37775"/>
    <w:rsid w:val="00E43624"/>
    <w:rsid w:val="00E43AF4"/>
    <w:rsid w:val="00E441A9"/>
    <w:rsid w:val="00E44B09"/>
    <w:rsid w:val="00E4511A"/>
    <w:rsid w:val="00E4570C"/>
    <w:rsid w:val="00E4630D"/>
    <w:rsid w:val="00E46B27"/>
    <w:rsid w:val="00E46BF5"/>
    <w:rsid w:val="00E4783E"/>
    <w:rsid w:val="00E479A8"/>
    <w:rsid w:val="00E50411"/>
    <w:rsid w:val="00E512E2"/>
    <w:rsid w:val="00E5273E"/>
    <w:rsid w:val="00E537BF"/>
    <w:rsid w:val="00E53E85"/>
    <w:rsid w:val="00E54C74"/>
    <w:rsid w:val="00E55E61"/>
    <w:rsid w:val="00E561DE"/>
    <w:rsid w:val="00E56550"/>
    <w:rsid w:val="00E57506"/>
    <w:rsid w:val="00E60444"/>
    <w:rsid w:val="00E60653"/>
    <w:rsid w:val="00E6169C"/>
    <w:rsid w:val="00E625D1"/>
    <w:rsid w:val="00E63436"/>
    <w:rsid w:val="00E6433C"/>
    <w:rsid w:val="00E6729D"/>
    <w:rsid w:val="00E7120E"/>
    <w:rsid w:val="00E713DD"/>
    <w:rsid w:val="00E7184A"/>
    <w:rsid w:val="00E71F89"/>
    <w:rsid w:val="00E72A16"/>
    <w:rsid w:val="00E72DBC"/>
    <w:rsid w:val="00E74C39"/>
    <w:rsid w:val="00E75CC7"/>
    <w:rsid w:val="00E75E1D"/>
    <w:rsid w:val="00E809DF"/>
    <w:rsid w:val="00E81080"/>
    <w:rsid w:val="00E81391"/>
    <w:rsid w:val="00E813CF"/>
    <w:rsid w:val="00E826F3"/>
    <w:rsid w:val="00E834B4"/>
    <w:rsid w:val="00E8594A"/>
    <w:rsid w:val="00E85E57"/>
    <w:rsid w:val="00E85F82"/>
    <w:rsid w:val="00E8741E"/>
    <w:rsid w:val="00E87F62"/>
    <w:rsid w:val="00E90D3A"/>
    <w:rsid w:val="00E91421"/>
    <w:rsid w:val="00E9282E"/>
    <w:rsid w:val="00E93153"/>
    <w:rsid w:val="00E936DF"/>
    <w:rsid w:val="00E939ED"/>
    <w:rsid w:val="00E9435E"/>
    <w:rsid w:val="00E94CAF"/>
    <w:rsid w:val="00E96185"/>
    <w:rsid w:val="00E965A9"/>
    <w:rsid w:val="00E9762C"/>
    <w:rsid w:val="00E97C38"/>
    <w:rsid w:val="00EA0A43"/>
    <w:rsid w:val="00EA10B1"/>
    <w:rsid w:val="00EA14D1"/>
    <w:rsid w:val="00EA1786"/>
    <w:rsid w:val="00EA3624"/>
    <w:rsid w:val="00EA3C1D"/>
    <w:rsid w:val="00EA403D"/>
    <w:rsid w:val="00EA4218"/>
    <w:rsid w:val="00EA5061"/>
    <w:rsid w:val="00EA5391"/>
    <w:rsid w:val="00EA6166"/>
    <w:rsid w:val="00EA6FE6"/>
    <w:rsid w:val="00EB0475"/>
    <w:rsid w:val="00EB19B2"/>
    <w:rsid w:val="00EB1DE7"/>
    <w:rsid w:val="00EB21D8"/>
    <w:rsid w:val="00EB22E8"/>
    <w:rsid w:val="00EB3A6A"/>
    <w:rsid w:val="00EB6278"/>
    <w:rsid w:val="00EB7D89"/>
    <w:rsid w:val="00EC2393"/>
    <w:rsid w:val="00EC29AD"/>
    <w:rsid w:val="00EC323D"/>
    <w:rsid w:val="00EC35A8"/>
    <w:rsid w:val="00EC4201"/>
    <w:rsid w:val="00EC451E"/>
    <w:rsid w:val="00EC503C"/>
    <w:rsid w:val="00EC5731"/>
    <w:rsid w:val="00EC6294"/>
    <w:rsid w:val="00EC6461"/>
    <w:rsid w:val="00EC6B9F"/>
    <w:rsid w:val="00EC7079"/>
    <w:rsid w:val="00ED0523"/>
    <w:rsid w:val="00ED1B54"/>
    <w:rsid w:val="00ED1D0D"/>
    <w:rsid w:val="00ED2061"/>
    <w:rsid w:val="00ED47F5"/>
    <w:rsid w:val="00ED488B"/>
    <w:rsid w:val="00ED5745"/>
    <w:rsid w:val="00ED5D1E"/>
    <w:rsid w:val="00ED6652"/>
    <w:rsid w:val="00ED6B9C"/>
    <w:rsid w:val="00ED6F86"/>
    <w:rsid w:val="00EE01E9"/>
    <w:rsid w:val="00EE09DF"/>
    <w:rsid w:val="00EE185F"/>
    <w:rsid w:val="00EE2B48"/>
    <w:rsid w:val="00EE6B25"/>
    <w:rsid w:val="00EE7033"/>
    <w:rsid w:val="00EF02E6"/>
    <w:rsid w:val="00EF08F9"/>
    <w:rsid w:val="00EF13DD"/>
    <w:rsid w:val="00EF25F0"/>
    <w:rsid w:val="00EF262F"/>
    <w:rsid w:val="00EF270C"/>
    <w:rsid w:val="00EF3AC6"/>
    <w:rsid w:val="00EF48FB"/>
    <w:rsid w:val="00EF4C5C"/>
    <w:rsid w:val="00EF5B23"/>
    <w:rsid w:val="00EF6662"/>
    <w:rsid w:val="00EF6779"/>
    <w:rsid w:val="00EF6D22"/>
    <w:rsid w:val="00EF7C25"/>
    <w:rsid w:val="00F00310"/>
    <w:rsid w:val="00F00425"/>
    <w:rsid w:val="00F00E28"/>
    <w:rsid w:val="00F019C8"/>
    <w:rsid w:val="00F036BD"/>
    <w:rsid w:val="00F03A30"/>
    <w:rsid w:val="00F03DD2"/>
    <w:rsid w:val="00F04342"/>
    <w:rsid w:val="00F053F6"/>
    <w:rsid w:val="00F0548C"/>
    <w:rsid w:val="00F06067"/>
    <w:rsid w:val="00F06635"/>
    <w:rsid w:val="00F06D0F"/>
    <w:rsid w:val="00F10815"/>
    <w:rsid w:val="00F10AE1"/>
    <w:rsid w:val="00F12C51"/>
    <w:rsid w:val="00F13118"/>
    <w:rsid w:val="00F133E4"/>
    <w:rsid w:val="00F138BF"/>
    <w:rsid w:val="00F14460"/>
    <w:rsid w:val="00F14628"/>
    <w:rsid w:val="00F16D7A"/>
    <w:rsid w:val="00F202E2"/>
    <w:rsid w:val="00F21722"/>
    <w:rsid w:val="00F2388B"/>
    <w:rsid w:val="00F24635"/>
    <w:rsid w:val="00F24EFA"/>
    <w:rsid w:val="00F26113"/>
    <w:rsid w:val="00F27686"/>
    <w:rsid w:val="00F3043C"/>
    <w:rsid w:val="00F305B8"/>
    <w:rsid w:val="00F3208F"/>
    <w:rsid w:val="00F32332"/>
    <w:rsid w:val="00F330C5"/>
    <w:rsid w:val="00F33BAC"/>
    <w:rsid w:val="00F3520A"/>
    <w:rsid w:val="00F352C1"/>
    <w:rsid w:val="00F357F2"/>
    <w:rsid w:val="00F360EF"/>
    <w:rsid w:val="00F370EB"/>
    <w:rsid w:val="00F40383"/>
    <w:rsid w:val="00F41118"/>
    <w:rsid w:val="00F41738"/>
    <w:rsid w:val="00F429D5"/>
    <w:rsid w:val="00F43830"/>
    <w:rsid w:val="00F43992"/>
    <w:rsid w:val="00F44160"/>
    <w:rsid w:val="00F4626E"/>
    <w:rsid w:val="00F46DAB"/>
    <w:rsid w:val="00F473DA"/>
    <w:rsid w:val="00F5018A"/>
    <w:rsid w:val="00F502DC"/>
    <w:rsid w:val="00F50F27"/>
    <w:rsid w:val="00F5233C"/>
    <w:rsid w:val="00F52C55"/>
    <w:rsid w:val="00F54C42"/>
    <w:rsid w:val="00F56209"/>
    <w:rsid w:val="00F5705E"/>
    <w:rsid w:val="00F57368"/>
    <w:rsid w:val="00F573F0"/>
    <w:rsid w:val="00F57A82"/>
    <w:rsid w:val="00F57AA8"/>
    <w:rsid w:val="00F60238"/>
    <w:rsid w:val="00F607BA"/>
    <w:rsid w:val="00F634FC"/>
    <w:rsid w:val="00F64EF2"/>
    <w:rsid w:val="00F65CFF"/>
    <w:rsid w:val="00F66382"/>
    <w:rsid w:val="00F665F3"/>
    <w:rsid w:val="00F66B08"/>
    <w:rsid w:val="00F67524"/>
    <w:rsid w:val="00F67D7D"/>
    <w:rsid w:val="00F7004C"/>
    <w:rsid w:val="00F704E0"/>
    <w:rsid w:val="00F71CC8"/>
    <w:rsid w:val="00F7300C"/>
    <w:rsid w:val="00F743D1"/>
    <w:rsid w:val="00F7441C"/>
    <w:rsid w:val="00F75133"/>
    <w:rsid w:val="00F75837"/>
    <w:rsid w:val="00F75DDA"/>
    <w:rsid w:val="00F77AD7"/>
    <w:rsid w:val="00F77CC8"/>
    <w:rsid w:val="00F77F11"/>
    <w:rsid w:val="00F80A08"/>
    <w:rsid w:val="00F80DCC"/>
    <w:rsid w:val="00F821BF"/>
    <w:rsid w:val="00F822D9"/>
    <w:rsid w:val="00F84020"/>
    <w:rsid w:val="00F84E4D"/>
    <w:rsid w:val="00F8737B"/>
    <w:rsid w:val="00F87AAC"/>
    <w:rsid w:val="00F87C56"/>
    <w:rsid w:val="00F906A2"/>
    <w:rsid w:val="00F90C6D"/>
    <w:rsid w:val="00F9287D"/>
    <w:rsid w:val="00F93B7E"/>
    <w:rsid w:val="00F94523"/>
    <w:rsid w:val="00F95A70"/>
    <w:rsid w:val="00F95B09"/>
    <w:rsid w:val="00F96928"/>
    <w:rsid w:val="00F96F7F"/>
    <w:rsid w:val="00F97373"/>
    <w:rsid w:val="00FA04DC"/>
    <w:rsid w:val="00FA19A0"/>
    <w:rsid w:val="00FA2D83"/>
    <w:rsid w:val="00FA30D6"/>
    <w:rsid w:val="00FA3FDC"/>
    <w:rsid w:val="00FA6BC2"/>
    <w:rsid w:val="00FA6BEB"/>
    <w:rsid w:val="00FA722B"/>
    <w:rsid w:val="00FA778F"/>
    <w:rsid w:val="00FB0211"/>
    <w:rsid w:val="00FB0955"/>
    <w:rsid w:val="00FB0FEE"/>
    <w:rsid w:val="00FB15A9"/>
    <w:rsid w:val="00FB2965"/>
    <w:rsid w:val="00FB4AA2"/>
    <w:rsid w:val="00FB501F"/>
    <w:rsid w:val="00FB5458"/>
    <w:rsid w:val="00FB5FE4"/>
    <w:rsid w:val="00FC0E1D"/>
    <w:rsid w:val="00FC1992"/>
    <w:rsid w:val="00FC2FE5"/>
    <w:rsid w:val="00FC3460"/>
    <w:rsid w:val="00FC3BD4"/>
    <w:rsid w:val="00FC3C74"/>
    <w:rsid w:val="00FC45EF"/>
    <w:rsid w:val="00FC6009"/>
    <w:rsid w:val="00FC633A"/>
    <w:rsid w:val="00FC63F9"/>
    <w:rsid w:val="00FC6870"/>
    <w:rsid w:val="00FC6BFC"/>
    <w:rsid w:val="00FC70E1"/>
    <w:rsid w:val="00FC78C9"/>
    <w:rsid w:val="00FD388D"/>
    <w:rsid w:val="00FD3D0B"/>
    <w:rsid w:val="00FD3E4C"/>
    <w:rsid w:val="00FD5E27"/>
    <w:rsid w:val="00FD713B"/>
    <w:rsid w:val="00FD787C"/>
    <w:rsid w:val="00FD7DD3"/>
    <w:rsid w:val="00FE027E"/>
    <w:rsid w:val="00FE08A9"/>
    <w:rsid w:val="00FE124E"/>
    <w:rsid w:val="00FE1296"/>
    <w:rsid w:val="00FE222A"/>
    <w:rsid w:val="00FE596D"/>
    <w:rsid w:val="00FE6C09"/>
    <w:rsid w:val="00FE7CD0"/>
    <w:rsid w:val="00FE7F9F"/>
    <w:rsid w:val="00FF0EA8"/>
    <w:rsid w:val="00FF111F"/>
    <w:rsid w:val="00FF2827"/>
    <w:rsid w:val="00FF4145"/>
    <w:rsid w:val="00FF43AB"/>
    <w:rsid w:val="00FF50B8"/>
    <w:rsid w:val="00FF6166"/>
    <w:rsid w:val="00FF6349"/>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332B5E6"/>
  <w15:docId w15:val="{74E6EAA5-D474-484A-BAA8-AB30FE4756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0C1E"/>
  </w:style>
  <w:style w:type="paragraph" w:styleId="Ttulo1">
    <w:name w:val="heading 1"/>
    <w:basedOn w:val="Normal"/>
    <w:next w:val="Normal"/>
    <w:link w:val="Ttulo1Car"/>
    <w:uiPriority w:val="9"/>
    <w:qFormat/>
    <w:rsid w:val="00CF0C1E"/>
    <w:pPr>
      <w:keepNext/>
      <w:keepLines/>
      <w:spacing w:before="480" w:line="276" w:lineRule="auto"/>
      <w:jc w:val="both"/>
      <w:outlineLvl w:val="0"/>
    </w:pPr>
    <w:rPr>
      <w:rFonts w:ascii="Arial" w:eastAsiaTheme="majorEastAsia" w:hAnsi="Arial" w:cstheme="majorBidi"/>
      <w:b/>
      <w:bCs/>
      <w:color w:val="2F5496" w:themeColor="accent1" w:themeShade="BF"/>
      <w:szCs w:val="28"/>
    </w:rPr>
  </w:style>
  <w:style w:type="paragraph" w:styleId="Ttulo2">
    <w:name w:val="heading 2"/>
    <w:basedOn w:val="Normal"/>
    <w:next w:val="Normal"/>
    <w:link w:val="Ttulo2Car"/>
    <w:uiPriority w:val="9"/>
    <w:unhideWhenUsed/>
    <w:qFormat/>
    <w:rsid w:val="00CF0C1E"/>
    <w:pPr>
      <w:keepNext/>
      <w:keepLines/>
      <w:spacing w:before="200" w:line="276" w:lineRule="auto"/>
      <w:jc w:val="both"/>
      <w:outlineLvl w:val="1"/>
    </w:pPr>
    <w:rPr>
      <w:rFonts w:ascii="Arial" w:eastAsiaTheme="majorEastAsia" w:hAnsi="Arial" w:cstheme="majorBidi"/>
      <w:b/>
      <w:bCs/>
      <w:color w:val="4472C4" w:themeColor="accent1"/>
      <w:sz w:val="22"/>
      <w:szCs w:val="26"/>
    </w:rPr>
  </w:style>
  <w:style w:type="paragraph" w:styleId="Ttulo3">
    <w:name w:val="heading 3"/>
    <w:basedOn w:val="Normal"/>
    <w:next w:val="Normal"/>
    <w:link w:val="Ttulo3Car"/>
    <w:uiPriority w:val="9"/>
    <w:unhideWhenUsed/>
    <w:qFormat/>
    <w:rsid w:val="00CF0C1E"/>
    <w:pPr>
      <w:keepNext/>
      <w:keepLines/>
      <w:spacing w:before="200" w:line="276" w:lineRule="auto"/>
      <w:jc w:val="both"/>
      <w:outlineLvl w:val="2"/>
    </w:pPr>
    <w:rPr>
      <w:rFonts w:ascii="Arial" w:eastAsiaTheme="majorEastAsia" w:hAnsi="Arial" w:cstheme="majorBidi"/>
      <w:b/>
      <w:bCs/>
      <w:color w:val="4472C4" w:themeColor="accent1"/>
      <w:sz w:val="20"/>
      <w:szCs w:val="22"/>
    </w:rPr>
  </w:style>
  <w:style w:type="paragraph" w:styleId="Ttulo4">
    <w:name w:val="heading 4"/>
    <w:basedOn w:val="Normal"/>
    <w:next w:val="Normal"/>
    <w:link w:val="Ttulo4Car"/>
    <w:uiPriority w:val="9"/>
    <w:unhideWhenUsed/>
    <w:qFormat/>
    <w:rsid w:val="00CF0C1E"/>
    <w:pPr>
      <w:keepNext/>
      <w:keepLines/>
      <w:spacing w:before="200" w:line="276" w:lineRule="auto"/>
      <w:jc w:val="both"/>
      <w:outlineLvl w:val="3"/>
    </w:pPr>
    <w:rPr>
      <w:rFonts w:ascii="Arial" w:eastAsiaTheme="majorEastAsia" w:hAnsi="Arial" w:cstheme="majorBidi"/>
      <w:b/>
      <w:bCs/>
      <w:i/>
      <w:iCs/>
      <w:color w:val="000000" w:themeColor="text1"/>
      <w:sz w:val="20"/>
      <w:szCs w:val="22"/>
    </w:rPr>
  </w:style>
  <w:style w:type="paragraph" w:styleId="Ttulo5">
    <w:name w:val="heading 5"/>
    <w:basedOn w:val="Normal"/>
    <w:next w:val="Normal"/>
    <w:link w:val="Ttulo5Car"/>
    <w:uiPriority w:val="9"/>
    <w:unhideWhenUsed/>
    <w:qFormat/>
    <w:rsid w:val="00CF0C1E"/>
    <w:pPr>
      <w:keepNext/>
      <w:keepLines/>
      <w:spacing w:before="200" w:line="276" w:lineRule="auto"/>
      <w:jc w:val="both"/>
      <w:outlineLvl w:val="4"/>
    </w:pPr>
    <w:rPr>
      <w:rFonts w:asciiTheme="majorHAnsi" w:eastAsiaTheme="majorEastAsia" w:hAnsiTheme="majorHAnsi" w:cstheme="majorBidi"/>
      <w:color w:val="1F3763" w:themeColor="accent1" w:themeShade="7F"/>
      <w:sz w:val="20"/>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F0C1E"/>
    <w:pPr>
      <w:tabs>
        <w:tab w:val="center" w:pos="4419"/>
        <w:tab w:val="right" w:pos="8838"/>
      </w:tabs>
    </w:pPr>
  </w:style>
  <w:style w:type="character" w:customStyle="1" w:styleId="EncabezadoCar">
    <w:name w:val="Encabezado Car"/>
    <w:basedOn w:val="Fuentedeprrafopredeter"/>
    <w:link w:val="Encabezado"/>
    <w:uiPriority w:val="99"/>
    <w:rsid w:val="009B4D74"/>
  </w:style>
  <w:style w:type="paragraph" w:styleId="Piedepgina">
    <w:name w:val="footer"/>
    <w:basedOn w:val="Normal"/>
    <w:link w:val="PiedepginaCar"/>
    <w:uiPriority w:val="99"/>
    <w:unhideWhenUsed/>
    <w:rsid w:val="00CF0C1E"/>
    <w:pPr>
      <w:tabs>
        <w:tab w:val="center" w:pos="4419"/>
        <w:tab w:val="right" w:pos="8838"/>
      </w:tabs>
    </w:pPr>
  </w:style>
  <w:style w:type="character" w:customStyle="1" w:styleId="PiedepginaCar">
    <w:name w:val="Pie de página Car"/>
    <w:basedOn w:val="Fuentedeprrafopredeter"/>
    <w:link w:val="Piedepgina"/>
    <w:uiPriority w:val="99"/>
    <w:rsid w:val="009B4D74"/>
  </w:style>
  <w:style w:type="character" w:customStyle="1" w:styleId="Ttulo1Car">
    <w:name w:val="Título 1 Car"/>
    <w:basedOn w:val="Fuentedeprrafopredeter"/>
    <w:link w:val="Ttulo1"/>
    <w:uiPriority w:val="9"/>
    <w:rsid w:val="00492810"/>
    <w:rPr>
      <w:rFonts w:ascii="Arial" w:eastAsiaTheme="majorEastAsia" w:hAnsi="Arial" w:cstheme="majorBidi"/>
      <w:b/>
      <w:bCs/>
      <w:color w:val="2F5496" w:themeColor="accent1" w:themeShade="BF"/>
      <w:szCs w:val="28"/>
    </w:rPr>
  </w:style>
  <w:style w:type="character" w:customStyle="1" w:styleId="Ttulo2Car">
    <w:name w:val="Título 2 Car"/>
    <w:basedOn w:val="Fuentedeprrafopredeter"/>
    <w:link w:val="Ttulo2"/>
    <w:uiPriority w:val="9"/>
    <w:rsid w:val="00492810"/>
    <w:rPr>
      <w:rFonts w:ascii="Arial" w:eastAsiaTheme="majorEastAsia" w:hAnsi="Arial" w:cstheme="majorBidi"/>
      <w:b/>
      <w:bCs/>
      <w:color w:val="4472C4" w:themeColor="accent1"/>
      <w:sz w:val="22"/>
      <w:szCs w:val="26"/>
    </w:rPr>
  </w:style>
  <w:style w:type="character" w:customStyle="1" w:styleId="Ttulo3Car">
    <w:name w:val="Título 3 Car"/>
    <w:basedOn w:val="Fuentedeprrafopredeter"/>
    <w:link w:val="Ttulo3"/>
    <w:uiPriority w:val="9"/>
    <w:rsid w:val="00492810"/>
    <w:rPr>
      <w:rFonts w:ascii="Arial" w:eastAsiaTheme="majorEastAsia" w:hAnsi="Arial" w:cstheme="majorBidi"/>
      <w:b/>
      <w:bCs/>
      <w:color w:val="4472C4" w:themeColor="accent1"/>
      <w:sz w:val="20"/>
      <w:szCs w:val="22"/>
    </w:rPr>
  </w:style>
  <w:style w:type="character" w:customStyle="1" w:styleId="Ttulo4Car">
    <w:name w:val="Título 4 Car"/>
    <w:basedOn w:val="Fuentedeprrafopredeter"/>
    <w:link w:val="Ttulo4"/>
    <w:uiPriority w:val="9"/>
    <w:rsid w:val="00492810"/>
    <w:rPr>
      <w:rFonts w:ascii="Arial" w:eastAsiaTheme="majorEastAsia" w:hAnsi="Arial" w:cstheme="majorBidi"/>
      <w:b/>
      <w:bCs/>
      <w:i/>
      <w:iCs/>
      <w:color w:val="000000" w:themeColor="text1"/>
      <w:sz w:val="20"/>
      <w:szCs w:val="22"/>
    </w:rPr>
  </w:style>
  <w:style w:type="character" w:customStyle="1" w:styleId="Ttulo5Car">
    <w:name w:val="Título 5 Car"/>
    <w:basedOn w:val="Fuentedeprrafopredeter"/>
    <w:link w:val="Ttulo5"/>
    <w:uiPriority w:val="9"/>
    <w:rsid w:val="00492810"/>
    <w:rPr>
      <w:rFonts w:asciiTheme="majorHAnsi" w:eastAsiaTheme="majorEastAsia" w:hAnsiTheme="majorHAnsi" w:cstheme="majorBidi"/>
      <w:color w:val="1F3763" w:themeColor="accent1" w:themeShade="7F"/>
      <w:sz w:val="20"/>
      <w:szCs w:val="22"/>
    </w:rPr>
  </w:style>
  <w:style w:type="paragraph" w:styleId="Textocomentario">
    <w:name w:val="annotation text"/>
    <w:basedOn w:val="Normal"/>
    <w:link w:val="TextocomentarioCar"/>
    <w:uiPriority w:val="99"/>
    <w:semiHidden/>
    <w:unhideWhenUsed/>
    <w:rsid w:val="00CF0C1E"/>
    <w:pPr>
      <w:spacing w:after="200"/>
      <w:jc w:val="both"/>
    </w:pPr>
    <w:rPr>
      <w:rFonts w:ascii="Calibri" w:eastAsia="Calibri" w:hAnsi="Calibri" w:cs="Times New Roman"/>
      <w:sz w:val="20"/>
      <w:szCs w:val="20"/>
      <w:lang w:val="es-ES"/>
    </w:rPr>
  </w:style>
  <w:style w:type="character" w:customStyle="1" w:styleId="TextocomentarioCar">
    <w:name w:val="Texto comentario Car"/>
    <w:basedOn w:val="Fuentedeprrafopredeter"/>
    <w:link w:val="Textocomentario"/>
    <w:uiPriority w:val="99"/>
    <w:semiHidden/>
    <w:rsid w:val="00492810"/>
    <w:rPr>
      <w:rFonts w:ascii="Calibri" w:eastAsia="Calibri" w:hAnsi="Calibri" w:cs="Times New Roman"/>
      <w:sz w:val="20"/>
      <w:szCs w:val="20"/>
      <w:lang w:val="es-ES"/>
    </w:rPr>
  </w:style>
  <w:style w:type="character" w:styleId="Refdecomentario">
    <w:name w:val="annotation reference"/>
    <w:basedOn w:val="Fuentedeprrafopredeter"/>
    <w:uiPriority w:val="99"/>
    <w:semiHidden/>
    <w:unhideWhenUsed/>
    <w:rsid w:val="00492810"/>
    <w:rPr>
      <w:sz w:val="16"/>
      <w:szCs w:val="16"/>
    </w:rPr>
  </w:style>
  <w:style w:type="paragraph" w:styleId="Textodeglobo">
    <w:name w:val="Balloon Text"/>
    <w:basedOn w:val="Normal"/>
    <w:link w:val="TextodegloboCar"/>
    <w:uiPriority w:val="99"/>
    <w:semiHidden/>
    <w:unhideWhenUsed/>
    <w:rsid w:val="00CF0C1E"/>
    <w:pPr>
      <w:jc w:val="both"/>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92810"/>
    <w:rPr>
      <w:rFonts w:ascii="Tahoma" w:hAnsi="Tahoma" w:cs="Tahoma"/>
      <w:sz w:val="16"/>
      <w:szCs w:val="16"/>
    </w:rPr>
  </w:style>
  <w:style w:type="paragraph" w:styleId="Prrafodelista">
    <w:name w:val="List Paragraph"/>
    <w:aliases w:val="Capítulo,TIT 2 IND,Texto,List Paragraph1,Titulo 4,tEXTO,References,Paragraphe  revu,Bullet 1,Use Case List Paragraph,Colorful List - Accent 11,titulo 5,Titulo parrafo,cS List Paragraph,Cuadrícula clara - Énfasis 31"/>
    <w:basedOn w:val="Normal"/>
    <w:link w:val="PrrafodelistaCar"/>
    <w:uiPriority w:val="34"/>
    <w:qFormat/>
    <w:rsid w:val="00CF0C1E"/>
    <w:pPr>
      <w:spacing w:after="200" w:line="276" w:lineRule="auto"/>
      <w:ind w:left="720"/>
      <w:contextualSpacing/>
      <w:jc w:val="both"/>
    </w:pPr>
    <w:rPr>
      <w:rFonts w:ascii="Arial" w:hAnsi="Arial"/>
      <w:sz w:val="20"/>
      <w:szCs w:val="22"/>
    </w:rPr>
  </w:style>
  <w:style w:type="paragraph" w:styleId="Textonotapie">
    <w:name w:val="footnote text"/>
    <w:basedOn w:val="Normal"/>
    <w:link w:val="TextonotapieCar"/>
    <w:uiPriority w:val="99"/>
    <w:unhideWhenUsed/>
    <w:rsid w:val="00CF0C1E"/>
    <w:pPr>
      <w:jc w:val="both"/>
    </w:pPr>
    <w:rPr>
      <w:rFonts w:ascii="Arial" w:hAnsi="Arial"/>
      <w:sz w:val="20"/>
      <w:szCs w:val="20"/>
    </w:rPr>
  </w:style>
  <w:style w:type="character" w:customStyle="1" w:styleId="TextonotapieCar">
    <w:name w:val="Texto nota pie Car"/>
    <w:basedOn w:val="Fuentedeprrafopredeter"/>
    <w:link w:val="Textonotapie"/>
    <w:uiPriority w:val="99"/>
    <w:rsid w:val="00492810"/>
    <w:rPr>
      <w:rFonts w:ascii="Arial" w:hAnsi="Arial"/>
      <w:sz w:val="20"/>
      <w:szCs w:val="20"/>
    </w:rPr>
  </w:style>
  <w:style w:type="character" w:styleId="Refdenotaalpie">
    <w:name w:val="footnote reference"/>
    <w:aliases w:val="BVI fnr,referencia nota al pie"/>
    <w:basedOn w:val="Fuentedeprrafopredeter"/>
    <w:uiPriority w:val="99"/>
    <w:unhideWhenUsed/>
    <w:rsid w:val="00492810"/>
    <w:rPr>
      <w:vertAlign w:val="superscript"/>
    </w:rPr>
  </w:style>
  <w:style w:type="character" w:styleId="Textoennegrita">
    <w:name w:val="Strong"/>
    <w:basedOn w:val="Fuentedeprrafopredeter"/>
    <w:uiPriority w:val="22"/>
    <w:qFormat/>
    <w:rsid w:val="00492810"/>
    <w:rPr>
      <w:b/>
      <w:bCs/>
    </w:rPr>
  </w:style>
  <w:style w:type="character" w:styleId="Hipervnculo">
    <w:name w:val="Hyperlink"/>
    <w:basedOn w:val="Fuentedeprrafopredeter"/>
    <w:uiPriority w:val="99"/>
    <w:unhideWhenUsed/>
    <w:rsid w:val="00492810"/>
    <w:rPr>
      <w:color w:val="0000FF"/>
      <w:u w:val="single"/>
    </w:rPr>
  </w:style>
  <w:style w:type="table" w:styleId="Sombreadoclaro-nfasis5">
    <w:name w:val="Light Shading Accent 5"/>
    <w:basedOn w:val="Tablanormal"/>
    <w:uiPriority w:val="60"/>
    <w:rsid w:val="00492810"/>
    <w:rPr>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Cuadrculaclara-nfasis11">
    <w:name w:val="Cuadrícula clara - Énfasis 11"/>
    <w:basedOn w:val="Tablanormal"/>
    <w:uiPriority w:val="62"/>
    <w:rsid w:val="00492810"/>
    <w:rPr>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customStyle="1" w:styleId="Sombreadomedio1-nfasis11">
    <w:name w:val="Sombreado medio 1 - Énfasis 11"/>
    <w:basedOn w:val="Tablanormal"/>
    <w:uiPriority w:val="63"/>
    <w:rsid w:val="00492810"/>
    <w:rPr>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Sombreadomedio2-nfasis5">
    <w:name w:val="Medium Shading 2 Accent 5"/>
    <w:basedOn w:val="Tablanormal"/>
    <w:uiPriority w:val="64"/>
    <w:rsid w:val="00492810"/>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5">
    <w:name w:val="Medium List 2 Accent 5"/>
    <w:basedOn w:val="Tablanormal"/>
    <w:uiPriority w:val="66"/>
    <w:rsid w:val="00492810"/>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492810"/>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2-nfasis5">
    <w:name w:val="Medium Grid 2 Accent 5"/>
    <w:basedOn w:val="Tablanormal"/>
    <w:uiPriority w:val="68"/>
    <w:rsid w:val="00492810"/>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492810"/>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Cuadrculamedia3-nfasis5">
    <w:name w:val="Medium Grid 3 Accent 5"/>
    <w:basedOn w:val="Tablanormal"/>
    <w:uiPriority w:val="69"/>
    <w:rsid w:val="00492810"/>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Cuadrculamedia3-nfasis1">
    <w:name w:val="Medium Grid 3 Accent 1"/>
    <w:basedOn w:val="Tablanormal"/>
    <w:uiPriority w:val="69"/>
    <w:rsid w:val="00492810"/>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paragraph" w:styleId="Sinespaciado">
    <w:name w:val="No Spacing"/>
    <w:uiPriority w:val="1"/>
    <w:qFormat/>
    <w:rsid w:val="00CF0C1E"/>
    <w:rPr>
      <w:sz w:val="22"/>
      <w:szCs w:val="22"/>
    </w:rPr>
  </w:style>
  <w:style w:type="paragraph" w:styleId="Asuntodelcomentario">
    <w:name w:val="annotation subject"/>
    <w:basedOn w:val="Textocomentario"/>
    <w:next w:val="Textocomentario"/>
    <w:link w:val="AsuntodelcomentarioCar"/>
    <w:uiPriority w:val="99"/>
    <w:semiHidden/>
    <w:unhideWhenUsed/>
    <w:rsid w:val="00492810"/>
    <w:rPr>
      <w:rFonts w:asciiTheme="minorHAnsi" w:eastAsiaTheme="minorHAnsi" w:hAnsiTheme="minorHAnsi" w:cstheme="minorBidi"/>
      <w:b/>
      <w:bCs/>
      <w:lang w:val="es-EC"/>
    </w:rPr>
  </w:style>
  <w:style w:type="character" w:customStyle="1" w:styleId="AsuntodelcomentarioCar">
    <w:name w:val="Asunto del comentario Car"/>
    <w:basedOn w:val="TextocomentarioCar"/>
    <w:link w:val="Asuntodelcomentario"/>
    <w:uiPriority w:val="99"/>
    <w:semiHidden/>
    <w:rsid w:val="00492810"/>
    <w:rPr>
      <w:rFonts w:ascii="Calibri" w:eastAsia="Calibri" w:hAnsi="Calibri" w:cs="Times New Roman"/>
      <w:b/>
      <w:bCs/>
      <w:sz w:val="20"/>
      <w:szCs w:val="20"/>
      <w:lang w:val="es-ES"/>
    </w:rPr>
  </w:style>
  <w:style w:type="paragraph" w:styleId="TDC1">
    <w:name w:val="toc 1"/>
    <w:basedOn w:val="Normal"/>
    <w:next w:val="Normal"/>
    <w:autoRedefine/>
    <w:uiPriority w:val="39"/>
    <w:unhideWhenUsed/>
    <w:qFormat/>
    <w:rsid w:val="00CF0C1E"/>
    <w:pPr>
      <w:tabs>
        <w:tab w:val="right" w:leader="dot" w:pos="9017"/>
      </w:tabs>
    </w:pPr>
    <w:rPr>
      <w:rFonts w:ascii="Arial" w:hAnsi="Arial" w:cstheme="minorHAnsi"/>
      <w:b/>
      <w:bCs/>
      <w:color w:val="2F5496" w:themeColor="accent1" w:themeShade="BF"/>
      <w:szCs w:val="20"/>
    </w:rPr>
  </w:style>
  <w:style w:type="paragraph" w:styleId="TDC2">
    <w:name w:val="toc 2"/>
    <w:basedOn w:val="Normal"/>
    <w:next w:val="Normal"/>
    <w:autoRedefine/>
    <w:uiPriority w:val="39"/>
    <w:unhideWhenUsed/>
    <w:qFormat/>
    <w:rsid w:val="00CF0C1E"/>
    <w:pPr>
      <w:tabs>
        <w:tab w:val="left" w:pos="450"/>
        <w:tab w:val="right" w:leader="dot" w:pos="9017"/>
      </w:tabs>
      <w:spacing w:after="120"/>
    </w:pPr>
    <w:rPr>
      <w:rFonts w:ascii="Arial" w:hAnsi="Arial" w:cstheme="minorHAnsi"/>
      <w:b/>
      <w:smallCaps/>
      <w:color w:val="4472C4" w:themeColor="accent1"/>
      <w:sz w:val="22"/>
      <w:szCs w:val="20"/>
    </w:rPr>
  </w:style>
  <w:style w:type="paragraph" w:styleId="TDC3">
    <w:name w:val="toc 3"/>
    <w:basedOn w:val="Normal"/>
    <w:next w:val="Normal"/>
    <w:autoRedefine/>
    <w:uiPriority w:val="39"/>
    <w:unhideWhenUsed/>
    <w:qFormat/>
    <w:rsid w:val="00CF0C1E"/>
    <w:pPr>
      <w:spacing w:line="276" w:lineRule="auto"/>
      <w:ind w:left="440"/>
    </w:pPr>
    <w:rPr>
      <w:rFonts w:ascii="Arial" w:hAnsi="Arial" w:cstheme="minorHAnsi"/>
      <w:i/>
      <w:iCs/>
      <w:sz w:val="20"/>
      <w:szCs w:val="20"/>
    </w:rPr>
  </w:style>
  <w:style w:type="paragraph" w:styleId="TDC4">
    <w:name w:val="toc 4"/>
    <w:basedOn w:val="Normal"/>
    <w:next w:val="Normal"/>
    <w:autoRedefine/>
    <w:uiPriority w:val="39"/>
    <w:unhideWhenUsed/>
    <w:rsid w:val="00CF0C1E"/>
    <w:pPr>
      <w:spacing w:line="276" w:lineRule="auto"/>
      <w:ind w:left="660"/>
    </w:pPr>
    <w:rPr>
      <w:rFonts w:ascii="Arial" w:hAnsi="Arial" w:cstheme="minorHAnsi"/>
      <w:sz w:val="18"/>
      <w:szCs w:val="18"/>
    </w:rPr>
  </w:style>
  <w:style w:type="paragraph" w:styleId="TDC5">
    <w:name w:val="toc 5"/>
    <w:basedOn w:val="Normal"/>
    <w:next w:val="Normal"/>
    <w:autoRedefine/>
    <w:uiPriority w:val="39"/>
    <w:unhideWhenUsed/>
    <w:rsid w:val="00CF0C1E"/>
    <w:pPr>
      <w:spacing w:line="276" w:lineRule="auto"/>
      <w:ind w:left="880"/>
    </w:pPr>
    <w:rPr>
      <w:rFonts w:ascii="Arial" w:hAnsi="Arial" w:cstheme="minorHAnsi"/>
      <w:sz w:val="18"/>
      <w:szCs w:val="18"/>
    </w:rPr>
  </w:style>
  <w:style w:type="paragraph" w:styleId="TDC6">
    <w:name w:val="toc 6"/>
    <w:basedOn w:val="Normal"/>
    <w:next w:val="Normal"/>
    <w:autoRedefine/>
    <w:uiPriority w:val="39"/>
    <w:unhideWhenUsed/>
    <w:rsid w:val="00CF0C1E"/>
    <w:pPr>
      <w:spacing w:line="276" w:lineRule="auto"/>
      <w:ind w:left="1100"/>
    </w:pPr>
    <w:rPr>
      <w:rFonts w:ascii="Arial" w:hAnsi="Arial" w:cstheme="minorHAnsi"/>
      <w:sz w:val="18"/>
      <w:szCs w:val="18"/>
    </w:rPr>
  </w:style>
  <w:style w:type="paragraph" w:styleId="TDC7">
    <w:name w:val="toc 7"/>
    <w:basedOn w:val="Normal"/>
    <w:next w:val="Normal"/>
    <w:autoRedefine/>
    <w:uiPriority w:val="39"/>
    <w:unhideWhenUsed/>
    <w:rsid w:val="00CF0C1E"/>
    <w:pPr>
      <w:spacing w:line="276" w:lineRule="auto"/>
      <w:ind w:left="1320"/>
    </w:pPr>
    <w:rPr>
      <w:rFonts w:ascii="Arial" w:hAnsi="Arial" w:cstheme="minorHAnsi"/>
      <w:sz w:val="18"/>
      <w:szCs w:val="18"/>
    </w:rPr>
  </w:style>
  <w:style w:type="paragraph" w:styleId="TDC8">
    <w:name w:val="toc 8"/>
    <w:basedOn w:val="Normal"/>
    <w:next w:val="Normal"/>
    <w:autoRedefine/>
    <w:uiPriority w:val="39"/>
    <w:unhideWhenUsed/>
    <w:rsid w:val="00CF0C1E"/>
    <w:pPr>
      <w:spacing w:line="276" w:lineRule="auto"/>
      <w:ind w:left="1540"/>
    </w:pPr>
    <w:rPr>
      <w:rFonts w:ascii="Arial" w:hAnsi="Arial" w:cstheme="minorHAnsi"/>
      <w:sz w:val="18"/>
      <w:szCs w:val="18"/>
    </w:rPr>
  </w:style>
  <w:style w:type="paragraph" w:styleId="TDC9">
    <w:name w:val="toc 9"/>
    <w:basedOn w:val="Normal"/>
    <w:next w:val="Normal"/>
    <w:autoRedefine/>
    <w:uiPriority w:val="39"/>
    <w:unhideWhenUsed/>
    <w:rsid w:val="00CF0C1E"/>
    <w:pPr>
      <w:spacing w:line="276" w:lineRule="auto"/>
      <w:ind w:left="1760"/>
    </w:pPr>
    <w:rPr>
      <w:rFonts w:ascii="Arial" w:hAnsi="Arial" w:cstheme="minorHAnsi"/>
      <w:sz w:val="18"/>
      <w:szCs w:val="18"/>
    </w:rPr>
  </w:style>
  <w:style w:type="paragraph" w:styleId="TtulodeTDC">
    <w:name w:val="TOC Heading"/>
    <w:basedOn w:val="Ttulo1"/>
    <w:next w:val="Normal"/>
    <w:uiPriority w:val="39"/>
    <w:unhideWhenUsed/>
    <w:qFormat/>
    <w:rsid w:val="00492810"/>
    <w:pPr>
      <w:jc w:val="left"/>
      <w:outlineLvl w:val="9"/>
    </w:pPr>
    <w:rPr>
      <w:lang w:val="es-ES"/>
    </w:rPr>
  </w:style>
  <w:style w:type="paragraph" w:styleId="Puesto">
    <w:name w:val="Title"/>
    <w:basedOn w:val="Normal"/>
    <w:next w:val="Normal"/>
    <w:link w:val="PuestoCar"/>
    <w:uiPriority w:val="10"/>
    <w:qFormat/>
    <w:rsid w:val="00CF0C1E"/>
    <w:pPr>
      <w:pBdr>
        <w:bottom w:val="single" w:sz="8" w:space="4" w:color="4472C4" w:themeColor="accent1"/>
      </w:pBdr>
      <w:spacing w:after="300"/>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PuestoCar">
    <w:name w:val="Puesto Car"/>
    <w:basedOn w:val="Fuentedeprrafopredeter"/>
    <w:link w:val="Puesto"/>
    <w:uiPriority w:val="10"/>
    <w:rsid w:val="00492810"/>
    <w:rPr>
      <w:rFonts w:asciiTheme="majorHAnsi" w:eastAsiaTheme="majorEastAsia" w:hAnsiTheme="majorHAnsi" w:cstheme="majorBidi"/>
      <w:color w:val="323E4F" w:themeColor="text2" w:themeShade="BF"/>
      <w:spacing w:val="5"/>
      <w:kern w:val="28"/>
      <w:sz w:val="52"/>
      <w:szCs w:val="52"/>
    </w:rPr>
  </w:style>
  <w:style w:type="character" w:styleId="nfasissutil">
    <w:name w:val="Subtle Emphasis"/>
    <w:basedOn w:val="Fuentedeprrafopredeter"/>
    <w:uiPriority w:val="19"/>
    <w:qFormat/>
    <w:rsid w:val="00492810"/>
    <w:rPr>
      <w:i/>
      <w:iCs/>
      <w:color w:val="000000" w:themeColor="text1"/>
    </w:rPr>
  </w:style>
  <w:style w:type="paragraph" w:styleId="Textonotaalfinal">
    <w:name w:val="endnote text"/>
    <w:basedOn w:val="Normal"/>
    <w:link w:val="TextonotaalfinalCar"/>
    <w:uiPriority w:val="99"/>
    <w:semiHidden/>
    <w:unhideWhenUsed/>
    <w:rsid w:val="00CF0C1E"/>
    <w:pPr>
      <w:jc w:val="both"/>
    </w:pPr>
    <w:rPr>
      <w:rFonts w:ascii="Arial" w:hAnsi="Arial"/>
      <w:sz w:val="20"/>
      <w:szCs w:val="20"/>
    </w:rPr>
  </w:style>
  <w:style w:type="character" w:customStyle="1" w:styleId="TextonotaalfinalCar">
    <w:name w:val="Texto nota al final Car"/>
    <w:basedOn w:val="Fuentedeprrafopredeter"/>
    <w:link w:val="Textonotaalfinal"/>
    <w:uiPriority w:val="99"/>
    <w:semiHidden/>
    <w:rsid w:val="00492810"/>
    <w:rPr>
      <w:rFonts w:ascii="Arial" w:hAnsi="Arial"/>
      <w:sz w:val="20"/>
      <w:szCs w:val="20"/>
    </w:rPr>
  </w:style>
  <w:style w:type="character" w:styleId="Refdenotaalfinal">
    <w:name w:val="endnote reference"/>
    <w:basedOn w:val="Fuentedeprrafopredeter"/>
    <w:uiPriority w:val="99"/>
    <w:semiHidden/>
    <w:unhideWhenUsed/>
    <w:rsid w:val="00492810"/>
    <w:rPr>
      <w:vertAlign w:val="superscript"/>
    </w:rPr>
  </w:style>
  <w:style w:type="table" w:styleId="Tablaconcuadrcula">
    <w:name w:val="Table Grid"/>
    <w:basedOn w:val="Tablanormal"/>
    <w:uiPriority w:val="59"/>
    <w:rsid w:val="0049281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CF0C1E"/>
    <w:pPr>
      <w:pBdr>
        <w:bottom w:val="single" w:sz="4" w:space="4" w:color="4472C4" w:themeColor="accent1"/>
      </w:pBdr>
      <w:spacing w:before="200" w:after="280" w:line="276" w:lineRule="auto"/>
      <w:ind w:left="709"/>
      <w:jc w:val="both"/>
      <w:outlineLvl w:val="3"/>
    </w:pPr>
    <w:rPr>
      <w:rFonts w:ascii="Arial" w:hAnsi="Arial"/>
      <w:b/>
      <w:bCs/>
      <w:i/>
      <w:iCs/>
      <w:color w:val="4472C4" w:themeColor="accent1"/>
      <w:sz w:val="20"/>
      <w:szCs w:val="22"/>
    </w:rPr>
  </w:style>
  <w:style w:type="character" w:customStyle="1" w:styleId="CitadestacadaCar">
    <w:name w:val="Cita destacada Car"/>
    <w:basedOn w:val="Fuentedeprrafopredeter"/>
    <w:link w:val="Citadestacada"/>
    <w:uiPriority w:val="30"/>
    <w:rsid w:val="00492810"/>
    <w:rPr>
      <w:rFonts w:ascii="Arial" w:hAnsi="Arial"/>
      <w:b/>
      <w:bCs/>
      <w:i/>
      <w:iCs/>
      <w:color w:val="4472C4" w:themeColor="accent1"/>
      <w:sz w:val="20"/>
      <w:szCs w:val="22"/>
    </w:rPr>
  </w:style>
  <w:style w:type="paragraph" w:styleId="Descripcin">
    <w:name w:val="caption"/>
    <w:aliases w:val="Arial"/>
    <w:basedOn w:val="Normal"/>
    <w:next w:val="Normal"/>
    <w:uiPriority w:val="35"/>
    <w:unhideWhenUsed/>
    <w:qFormat/>
    <w:rsid w:val="00CF0C1E"/>
    <w:pPr>
      <w:spacing w:after="200"/>
      <w:jc w:val="both"/>
    </w:pPr>
    <w:rPr>
      <w:rFonts w:ascii="Arial" w:hAnsi="Arial"/>
      <w:b/>
      <w:bCs/>
      <w:color w:val="4472C4" w:themeColor="accent1"/>
      <w:sz w:val="18"/>
      <w:szCs w:val="18"/>
    </w:rPr>
  </w:style>
  <w:style w:type="paragraph" w:styleId="Tabladeilustraciones">
    <w:name w:val="table of figures"/>
    <w:basedOn w:val="Normal"/>
    <w:next w:val="Normal"/>
    <w:uiPriority w:val="99"/>
    <w:unhideWhenUsed/>
    <w:rsid w:val="00CF0C1E"/>
    <w:pPr>
      <w:spacing w:line="276" w:lineRule="auto"/>
      <w:jc w:val="both"/>
    </w:pPr>
    <w:rPr>
      <w:rFonts w:ascii="Arial" w:hAnsi="Arial"/>
      <w:sz w:val="20"/>
      <w:szCs w:val="22"/>
    </w:rPr>
  </w:style>
  <w:style w:type="character" w:styleId="Nmerodelnea">
    <w:name w:val="line number"/>
    <w:basedOn w:val="Fuentedeprrafopredeter"/>
    <w:uiPriority w:val="99"/>
    <w:semiHidden/>
    <w:unhideWhenUsed/>
    <w:rsid w:val="00492810"/>
  </w:style>
  <w:style w:type="paragraph" w:styleId="Mapadeldocumento">
    <w:name w:val="Document Map"/>
    <w:basedOn w:val="Normal"/>
    <w:link w:val="MapadeldocumentoCar"/>
    <w:uiPriority w:val="99"/>
    <w:semiHidden/>
    <w:unhideWhenUsed/>
    <w:rsid w:val="00CF0C1E"/>
    <w:pPr>
      <w:jc w:val="both"/>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492810"/>
    <w:rPr>
      <w:rFonts w:ascii="Tahoma" w:hAnsi="Tahoma" w:cs="Tahoma"/>
      <w:sz w:val="16"/>
      <w:szCs w:val="16"/>
    </w:rPr>
  </w:style>
  <w:style w:type="paragraph" w:styleId="Cita">
    <w:name w:val="Quote"/>
    <w:basedOn w:val="Normal"/>
    <w:next w:val="Normal"/>
    <w:link w:val="CitaCar"/>
    <w:uiPriority w:val="29"/>
    <w:qFormat/>
    <w:rsid w:val="00CF0C1E"/>
    <w:pPr>
      <w:spacing w:after="200" w:line="276" w:lineRule="auto"/>
      <w:ind w:left="992" w:right="284"/>
      <w:jc w:val="both"/>
    </w:pPr>
    <w:rPr>
      <w:rFonts w:ascii="Arial" w:hAnsi="Arial"/>
      <w:iCs/>
      <w:color w:val="000000" w:themeColor="text1"/>
      <w:sz w:val="18"/>
      <w:szCs w:val="22"/>
    </w:rPr>
  </w:style>
  <w:style w:type="character" w:customStyle="1" w:styleId="CitaCar">
    <w:name w:val="Cita Car"/>
    <w:basedOn w:val="Fuentedeprrafopredeter"/>
    <w:link w:val="Cita"/>
    <w:uiPriority w:val="29"/>
    <w:rsid w:val="00492810"/>
    <w:rPr>
      <w:rFonts w:ascii="Arial" w:hAnsi="Arial"/>
      <w:iCs/>
      <w:color w:val="000000" w:themeColor="text1"/>
      <w:sz w:val="18"/>
      <w:szCs w:val="22"/>
    </w:rPr>
  </w:style>
  <w:style w:type="character" w:styleId="Textodelmarcadordeposicin">
    <w:name w:val="Placeholder Text"/>
    <w:basedOn w:val="Fuentedeprrafopredeter"/>
    <w:uiPriority w:val="99"/>
    <w:semiHidden/>
    <w:rsid w:val="00492810"/>
    <w:rPr>
      <w:color w:val="808080"/>
    </w:rPr>
  </w:style>
  <w:style w:type="character" w:styleId="Hipervnculovisitado">
    <w:name w:val="FollowedHyperlink"/>
    <w:basedOn w:val="Fuentedeprrafopredeter"/>
    <w:uiPriority w:val="99"/>
    <w:semiHidden/>
    <w:unhideWhenUsed/>
    <w:rsid w:val="00492810"/>
    <w:rPr>
      <w:color w:val="954F72" w:themeColor="followedHyperlink"/>
      <w:u w:val="single"/>
    </w:rPr>
  </w:style>
  <w:style w:type="paragraph" w:styleId="Bibliografa">
    <w:name w:val="Bibliography"/>
    <w:basedOn w:val="Normal"/>
    <w:next w:val="Normal"/>
    <w:uiPriority w:val="37"/>
    <w:unhideWhenUsed/>
    <w:rsid w:val="00CF0C1E"/>
    <w:pPr>
      <w:spacing w:after="200" w:line="276" w:lineRule="auto"/>
      <w:ind w:left="709" w:hanging="709"/>
      <w:jc w:val="both"/>
    </w:pPr>
    <w:rPr>
      <w:rFonts w:ascii="Arial" w:eastAsia="Calibri" w:hAnsi="Arial" w:cs="Times New Roman"/>
      <w:sz w:val="20"/>
      <w:szCs w:val="22"/>
      <w:lang w:val="es-ES"/>
    </w:rPr>
  </w:style>
  <w:style w:type="character" w:customStyle="1" w:styleId="PrrafodelistaCar">
    <w:name w:val="Párrafo de lista Car"/>
    <w:aliases w:val="Capítulo Car,TIT 2 IND Car,Texto Car,List Paragraph1 Car,Titulo 4 Car,tEXTO Car,References Car,Paragraphe  revu Car,Bullet 1 Car,Use Case List Paragraph Car,Colorful List - Accent 11 Car,titulo 5 Car,Titulo parrafo Car"/>
    <w:link w:val="Prrafodelista"/>
    <w:uiPriority w:val="34"/>
    <w:qFormat/>
    <w:rsid w:val="00492810"/>
    <w:rPr>
      <w:rFonts w:ascii="Arial" w:hAnsi="Arial"/>
      <w:sz w:val="20"/>
      <w:szCs w:val="22"/>
    </w:rPr>
  </w:style>
  <w:style w:type="paragraph" w:styleId="Textoindependiente">
    <w:name w:val="Body Text"/>
    <w:basedOn w:val="Normal"/>
    <w:link w:val="TextoindependienteCar"/>
    <w:uiPriority w:val="1"/>
    <w:qFormat/>
    <w:rsid w:val="00CF0C1E"/>
    <w:pPr>
      <w:widowControl w:val="0"/>
      <w:autoSpaceDE w:val="0"/>
      <w:autoSpaceDN w:val="0"/>
    </w:pPr>
    <w:rPr>
      <w:rFonts w:ascii="Century Gothic" w:eastAsia="Century Gothic" w:hAnsi="Century Gothic" w:cs="Century Gothic"/>
      <w:b/>
      <w:bCs/>
      <w:sz w:val="91"/>
      <w:szCs w:val="91"/>
      <w:lang w:val="es-ES" w:eastAsia="es-ES" w:bidi="es-ES"/>
    </w:rPr>
  </w:style>
  <w:style w:type="character" w:customStyle="1" w:styleId="TextoindependienteCar">
    <w:name w:val="Texto independiente Car"/>
    <w:basedOn w:val="Fuentedeprrafopredeter"/>
    <w:link w:val="Textoindependiente"/>
    <w:uiPriority w:val="1"/>
    <w:rsid w:val="00492810"/>
    <w:rPr>
      <w:rFonts w:ascii="Century Gothic" w:eastAsia="Century Gothic" w:hAnsi="Century Gothic" w:cs="Century Gothic"/>
      <w:b/>
      <w:bCs/>
      <w:sz w:val="91"/>
      <w:szCs w:val="91"/>
      <w:lang w:val="es-ES" w:eastAsia="es-ES" w:bidi="es-ES"/>
    </w:rPr>
  </w:style>
  <w:style w:type="paragraph" w:styleId="Revisin">
    <w:name w:val="Revision"/>
    <w:hidden/>
    <w:uiPriority w:val="99"/>
    <w:semiHidden/>
    <w:rsid w:val="00CF0C1E"/>
    <w:rPr>
      <w:rFonts w:ascii="Arial" w:hAnsi="Arial"/>
      <w:sz w:val="20"/>
      <w:szCs w:val="22"/>
    </w:rPr>
  </w:style>
  <w:style w:type="character" w:styleId="nfasis">
    <w:name w:val="Emphasis"/>
    <w:basedOn w:val="Fuentedeprrafopredeter"/>
    <w:uiPriority w:val="20"/>
    <w:qFormat/>
    <w:rsid w:val="00492810"/>
    <w:rPr>
      <w:i/>
      <w:iCs/>
    </w:rPr>
  </w:style>
  <w:style w:type="character" w:customStyle="1" w:styleId="A8">
    <w:name w:val="A8"/>
    <w:uiPriority w:val="99"/>
    <w:rsid w:val="00492810"/>
    <w:rPr>
      <w:rFonts w:cs="Myriad Pro"/>
      <w:color w:val="000000"/>
      <w:sz w:val="22"/>
      <w:szCs w:val="22"/>
    </w:rPr>
  </w:style>
  <w:style w:type="paragraph" w:customStyle="1" w:styleId="Default">
    <w:name w:val="Default"/>
    <w:rsid w:val="00CF0C1E"/>
    <w:pPr>
      <w:autoSpaceDE w:val="0"/>
      <w:autoSpaceDN w:val="0"/>
      <w:adjustRightInd w:val="0"/>
    </w:pPr>
    <w:rPr>
      <w:rFonts w:ascii="Century Gothic" w:hAnsi="Century Gothic" w:cs="Century Gothic"/>
      <w:color w:val="000000"/>
    </w:rPr>
  </w:style>
  <w:style w:type="paragraph" w:customStyle="1" w:styleId="TITULOINEC">
    <w:name w:val="TITULO INEC"/>
    <w:basedOn w:val="Normal"/>
    <w:qFormat/>
    <w:rsid w:val="00492810"/>
    <w:pPr>
      <w:jc w:val="center"/>
    </w:pPr>
    <w:rPr>
      <w:rFonts w:ascii="Century Gothic" w:hAnsi="Century Gothic"/>
      <w:b/>
      <w:bCs/>
      <w:color w:val="505685"/>
      <w:sz w:val="48"/>
      <w:szCs w:val="48"/>
    </w:rPr>
  </w:style>
  <w:style w:type="paragraph" w:customStyle="1" w:styleId="SUBTITULOINEC">
    <w:name w:val="SUBTITULO INEC"/>
    <w:basedOn w:val="Normal"/>
    <w:qFormat/>
    <w:rsid w:val="00492810"/>
    <w:pPr>
      <w:jc w:val="center"/>
    </w:pPr>
    <w:rPr>
      <w:rFonts w:ascii="Century Gothic" w:hAnsi="Century Gothic"/>
      <w:b/>
      <w:bCs/>
      <w:color w:val="505685"/>
      <w:sz w:val="48"/>
      <w:szCs w:val="48"/>
      <w14:textFill>
        <w14:solidFill>
          <w14:srgbClr w14:val="505685">
            <w14:lumMod w14:val="65000"/>
            <w14:lumOff w14:val="35000"/>
          </w14:srgbClr>
        </w14:solidFill>
      </w14:textFill>
    </w:rPr>
  </w:style>
  <w:style w:type="paragraph" w:styleId="NormalWeb">
    <w:name w:val="Normal (Web)"/>
    <w:basedOn w:val="Normal"/>
    <w:uiPriority w:val="99"/>
    <w:unhideWhenUsed/>
    <w:rsid w:val="001C1B91"/>
    <w:pPr>
      <w:spacing w:before="100" w:beforeAutospacing="1" w:after="100" w:afterAutospacing="1"/>
    </w:pPr>
    <w:rPr>
      <w:rFonts w:ascii="Times New Roman" w:hAnsi="Times New Roman" w:cs="Times New Roman"/>
      <w:lang w:val="es-ES_tradnl" w:eastAsia="es-ES_tradnl"/>
    </w:rPr>
  </w:style>
  <w:style w:type="character" w:customStyle="1" w:styleId="Estilo7">
    <w:name w:val="Estilo7"/>
    <w:basedOn w:val="Fuentedeprrafopredeter"/>
    <w:uiPriority w:val="1"/>
    <w:rsid w:val="000D4214"/>
    <w:rPr>
      <w:rFonts w:ascii="Arial" w:hAnsi="Arial"/>
      <w:b w:val="0"/>
      <w:i w:val="0"/>
      <w:color w:val="000000" w:themeColor="text1"/>
      <w:sz w:val="20"/>
    </w:rPr>
  </w:style>
  <w:style w:type="character" w:customStyle="1" w:styleId="Estilo4">
    <w:name w:val="Estilo4"/>
    <w:basedOn w:val="Fuentedeprrafopredeter"/>
    <w:uiPriority w:val="1"/>
    <w:rsid w:val="000D4214"/>
    <w:rPr>
      <w:rFonts w:ascii="Arial" w:hAnsi="Arial"/>
      <w:color w:val="000000" w:themeColor="text1"/>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430740">
      <w:bodyDiv w:val="1"/>
      <w:marLeft w:val="0"/>
      <w:marRight w:val="0"/>
      <w:marTop w:val="0"/>
      <w:marBottom w:val="0"/>
      <w:divBdr>
        <w:top w:val="none" w:sz="0" w:space="0" w:color="auto"/>
        <w:left w:val="none" w:sz="0" w:space="0" w:color="auto"/>
        <w:bottom w:val="none" w:sz="0" w:space="0" w:color="auto"/>
        <w:right w:val="none" w:sz="0" w:space="0" w:color="auto"/>
      </w:divBdr>
    </w:div>
    <w:div w:id="96412426">
      <w:bodyDiv w:val="1"/>
      <w:marLeft w:val="0"/>
      <w:marRight w:val="0"/>
      <w:marTop w:val="0"/>
      <w:marBottom w:val="0"/>
      <w:divBdr>
        <w:top w:val="none" w:sz="0" w:space="0" w:color="auto"/>
        <w:left w:val="none" w:sz="0" w:space="0" w:color="auto"/>
        <w:bottom w:val="none" w:sz="0" w:space="0" w:color="auto"/>
        <w:right w:val="none" w:sz="0" w:space="0" w:color="auto"/>
      </w:divBdr>
    </w:div>
    <w:div w:id="108401852">
      <w:bodyDiv w:val="1"/>
      <w:marLeft w:val="0"/>
      <w:marRight w:val="0"/>
      <w:marTop w:val="0"/>
      <w:marBottom w:val="0"/>
      <w:divBdr>
        <w:top w:val="none" w:sz="0" w:space="0" w:color="auto"/>
        <w:left w:val="none" w:sz="0" w:space="0" w:color="auto"/>
        <w:bottom w:val="none" w:sz="0" w:space="0" w:color="auto"/>
        <w:right w:val="none" w:sz="0" w:space="0" w:color="auto"/>
      </w:divBdr>
    </w:div>
    <w:div w:id="116292382">
      <w:bodyDiv w:val="1"/>
      <w:marLeft w:val="0"/>
      <w:marRight w:val="0"/>
      <w:marTop w:val="0"/>
      <w:marBottom w:val="0"/>
      <w:divBdr>
        <w:top w:val="none" w:sz="0" w:space="0" w:color="auto"/>
        <w:left w:val="none" w:sz="0" w:space="0" w:color="auto"/>
        <w:bottom w:val="none" w:sz="0" w:space="0" w:color="auto"/>
        <w:right w:val="none" w:sz="0" w:space="0" w:color="auto"/>
      </w:divBdr>
    </w:div>
    <w:div w:id="217471269">
      <w:bodyDiv w:val="1"/>
      <w:marLeft w:val="0"/>
      <w:marRight w:val="0"/>
      <w:marTop w:val="0"/>
      <w:marBottom w:val="0"/>
      <w:divBdr>
        <w:top w:val="none" w:sz="0" w:space="0" w:color="auto"/>
        <w:left w:val="none" w:sz="0" w:space="0" w:color="auto"/>
        <w:bottom w:val="none" w:sz="0" w:space="0" w:color="auto"/>
        <w:right w:val="none" w:sz="0" w:space="0" w:color="auto"/>
      </w:divBdr>
    </w:div>
    <w:div w:id="234632227">
      <w:bodyDiv w:val="1"/>
      <w:marLeft w:val="0"/>
      <w:marRight w:val="0"/>
      <w:marTop w:val="0"/>
      <w:marBottom w:val="0"/>
      <w:divBdr>
        <w:top w:val="none" w:sz="0" w:space="0" w:color="auto"/>
        <w:left w:val="none" w:sz="0" w:space="0" w:color="auto"/>
        <w:bottom w:val="none" w:sz="0" w:space="0" w:color="auto"/>
        <w:right w:val="none" w:sz="0" w:space="0" w:color="auto"/>
      </w:divBdr>
    </w:div>
    <w:div w:id="291910439">
      <w:bodyDiv w:val="1"/>
      <w:marLeft w:val="0"/>
      <w:marRight w:val="0"/>
      <w:marTop w:val="0"/>
      <w:marBottom w:val="0"/>
      <w:divBdr>
        <w:top w:val="none" w:sz="0" w:space="0" w:color="auto"/>
        <w:left w:val="none" w:sz="0" w:space="0" w:color="auto"/>
        <w:bottom w:val="none" w:sz="0" w:space="0" w:color="auto"/>
        <w:right w:val="none" w:sz="0" w:space="0" w:color="auto"/>
      </w:divBdr>
    </w:div>
    <w:div w:id="388891581">
      <w:bodyDiv w:val="1"/>
      <w:marLeft w:val="0"/>
      <w:marRight w:val="0"/>
      <w:marTop w:val="0"/>
      <w:marBottom w:val="0"/>
      <w:divBdr>
        <w:top w:val="none" w:sz="0" w:space="0" w:color="auto"/>
        <w:left w:val="none" w:sz="0" w:space="0" w:color="auto"/>
        <w:bottom w:val="none" w:sz="0" w:space="0" w:color="auto"/>
        <w:right w:val="none" w:sz="0" w:space="0" w:color="auto"/>
      </w:divBdr>
    </w:div>
    <w:div w:id="406150714">
      <w:bodyDiv w:val="1"/>
      <w:marLeft w:val="0"/>
      <w:marRight w:val="0"/>
      <w:marTop w:val="0"/>
      <w:marBottom w:val="0"/>
      <w:divBdr>
        <w:top w:val="none" w:sz="0" w:space="0" w:color="auto"/>
        <w:left w:val="none" w:sz="0" w:space="0" w:color="auto"/>
        <w:bottom w:val="none" w:sz="0" w:space="0" w:color="auto"/>
        <w:right w:val="none" w:sz="0" w:space="0" w:color="auto"/>
      </w:divBdr>
    </w:div>
    <w:div w:id="417406338">
      <w:bodyDiv w:val="1"/>
      <w:marLeft w:val="0"/>
      <w:marRight w:val="0"/>
      <w:marTop w:val="0"/>
      <w:marBottom w:val="0"/>
      <w:divBdr>
        <w:top w:val="none" w:sz="0" w:space="0" w:color="auto"/>
        <w:left w:val="none" w:sz="0" w:space="0" w:color="auto"/>
        <w:bottom w:val="none" w:sz="0" w:space="0" w:color="auto"/>
        <w:right w:val="none" w:sz="0" w:space="0" w:color="auto"/>
      </w:divBdr>
    </w:div>
    <w:div w:id="448086074">
      <w:bodyDiv w:val="1"/>
      <w:marLeft w:val="0"/>
      <w:marRight w:val="0"/>
      <w:marTop w:val="0"/>
      <w:marBottom w:val="0"/>
      <w:divBdr>
        <w:top w:val="none" w:sz="0" w:space="0" w:color="auto"/>
        <w:left w:val="none" w:sz="0" w:space="0" w:color="auto"/>
        <w:bottom w:val="none" w:sz="0" w:space="0" w:color="auto"/>
        <w:right w:val="none" w:sz="0" w:space="0" w:color="auto"/>
      </w:divBdr>
    </w:div>
    <w:div w:id="580524821">
      <w:bodyDiv w:val="1"/>
      <w:marLeft w:val="0"/>
      <w:marRight w:val="0"/>
      <w:marTop w:val="0"/>
      <w:marBottom w:val="0"/>
      <w:divBdr>
        <w:top w:val="none" w:sz="0" w:space="0" w:color="auto"/>
        <w:left w:val="none" w:sz="0" w:space="0" w:color="auto"/>
        <w:bottom w:val="none" w:sz="0" w:space="0" w:color="auto"/>
        <w:right w:val="none" w:sz="0" w:space="0" w:color="auto"/>
      </w:divBdr>
    </w:div>
    <w:div w:id="591474726">
      <w:bodyDiv w:val="1"/>
      <w:marLeft w:val="0"/>
      <w:marRight w:val="0"/>
      <w:marTop w:val="0"/>
      <w:marBottom w:val="0"/>
      <w:divBdr>
        <w:top w:val="none" w:sz="0" w:space="0" w:color="auto"/>
        <w:left w:val="none" w:sz="0" w:space="0" w:color="auto"/>
        <w:bottom w:val="none" w:sz="0" w:space="0" w:color="auto"/>
        <w:right w:val="none" w:sz="0" w:space="0" w:color="auto"/>
      </w:divBdr>
    </w:div>
    <w:div w:id="623778069">
      <w:bodyDiv w:val="1"/>
      <w:marLeft w:val="0"/>
      <w:marRight w:val="0"/>
      <w:marTop w:val="0"/>
      <w:marBottom w:val="0"/>
      <w:divBdr>
        <w:top w:val="none" w:sz="0" w:space="0" w:color="auto"/>
        <w:left w:val="none" w:sz="0" w:space="0" w:color="auto"/>
        <w:bottom w:val="none" w:sz="0" w:space="0" w:color="auto"/>
        <w:right w:val="none" w:sz="0" w:space="0" w:color="auto"/>
      </w:divBdr>
    </w:div>
    <w:div w:id="754982060">
      <w:bodyDiv w:val="1"/>
      <w:marLeft w:val="0"/>
      <w:marRight w:val="0"/>
      <w:marTop w:val="0"/>
      <w:marBottom w:val="0"/>
      <w:divBdr>
        <w:top w:val="none" w:sz="0" w:space="0" w:color="auto"/>
        <w:left w:val="none" w:sz="0" w:space="0" w:color="auto"/>
        <w:bottom w:val="none" w:sz="0" w:space="0" w:color="auto"/>
        <w:right w:val="none" w:sz="0" w:space="0" w:color="auto"/>
      </w:divBdr>
    </w:div>
    <w:div w:id="758871712">
      <w:bodyDiv w:val="1"/>
      <w:marLeft w:val="0"/>
      <w:marRight w:val="0"/>
      <w:marTop w:val="0"/>
      <w:marBottom w:val="0"/>
      <w:divBdr>
        <w:top w:val="none" w:sz="0" w:space="0" w:color="auto"/>
        <w:left w:val="none" w:sz="0" w:space="0" w:color="auto"/>
        <w:bottom w:val="none" w:sz="0" w:space="0" w:color="auto"/>
        <w:right w:val="none" w:sz="0" w:space="0" w:color="auto"/>
      </w:divBdr>
    </w:div>
    <w:div w:id="882786299">
      <w:bodyDiv w:val="1"/>
      <w:marLeft w:val="0"/>
      <w:marRight w:val="0"/>
      <w:marTop w:val="0"/>
      <w:marBottom w:val="0"/>
      <w:divBdr>
        <w:top w:val="none" w:sz="0" w:space="0" w:color="auto"/>
        <w:left w:val="none" w:sz="0" w:space="0" w:color="auto"/>
        <w:bottom w:val="none" w:sz="0" w:space="0" w:color="auto"/>
        <w:right w:val="none" w:sz="0" w:space="0" w:color="auto"/>
      </w:divBdr>
    </w:div>
    <w:div w:id="972827735">
      <w:bodyDiv w:val="1"/>
      <w:marLeft w:val="0"/>
      <w:marRight w:val="0"/>
      <w:marTop w:val="0"/>
      <w:marBottom w:val="0"/>
      <w:divBdr>
        <w:top w:val="none" w:sz="0" w:space="0" w:color="auto"/>
        <w:left w:val="none" w:sz="0" w:space="0" w:color="auto"/>
        <w:bottom w:val="none" w:sz="0" w:space="0" w:color="auto"/>
        <w:right w:val="none" w:sz="0" w:space="0" w:color="auto"/>
      </w:divBdr>
    </w:div>
    <w:div w:id="977105341">
      <w:bodyDiv w:val="1"/>
      <w:marLeft w:val="0"/>
      <w:marRight w:val="0"/>
      <w:marTop w:val="0"/>
      <w:marBottom w:val="0"/>
      <w:divBdr>
        <w:top w:val="none" w:sz="0" w:space="0" w:color="auto"/>
        <w:left w:val="none" w:sz="0" w:space="0" w:color="auto"/>
        <w:bottom w:val="none" w:sz="0" w:space="0" w:color="auto"/>
        <w:right w:val="none" w:sz="0" w:space="0" w:color="auto"/>
      </w:divBdr>
    </w:div>
    <w:div w:id="1014575675">
      <w:bodyDiv w:val="1"/>
      <w:marLeft w:val="0"/>
      <w:marRight w:val="0"/>
      <w:marTop w:val="0"/>
      <w:marBottom w:val="0"/>
      <w:divBdr>
        <w:top w:val="none" w:sz="0" w:space="0" w:color="auto"/>
        <w:left w:val="none" w:sz="0" w:space="0" w:color="auto"/>
        <w:bottom w:val="none" w:sz="0" w:space="0" w:color="auto"/>
        <w:right w:val="none" w:sz="0" w:space="0" w:color="auto"/>
      </w:divBdr>
    </w:div>
    <w:div w:id="1050226178">
      <w:bodyDiv w:val="1"/>
      <w:marLeft w:val="0"/>
      <w:marRight w:val="0"/>
      <w:marTop w:val="0"/>
      <w:marBottom w:val="0"/>
      <w:divBdr>
        <w:top w:val="none" w:sz="0" w:space="0" w:color="auto"/>
        <w:left w:val="none" w:sz="0" w:space="0" w:color="auto"/>
        <w:bottom w:val="none" w:sz="0" w:space="0" w:color="auto"/>
        <w:right w:val="none" w:sz="0" w:space="0" w:color="auto"/>
      </w:divBdr>
    </w:div>
    <w:div w:id="1078988716">
      <w:bodyDiv w:val="1"/>
      <w:marLeft w:val="0"/>
      <w:marRight w:val="0"/>
      <w:marTop w:val="0"/>
      <w:marBottom w:val="0"/>
      <w:divBdr>
        <w:top w:val="none" w:sz="0" w:space="0" w:color="auto"/>
        <w:left w:val="none" w:sz="0" w:space="0" w:color="auto"/>
        <w:bottom w:val="none" w:sz="0" w:space="0" w:color="auto"/>
        <w:right w:val="none" w:sz="0" w:space="0" w:color="auto"/>
      </w:divBdr>
    </w:div>
    <w:div w:id="1085566525">
      <w:bodyDiv w:val="1"/>
      <w:marLeft w:val="0"/>
      <w:marRight w:val="0"/>
      <w:marTop w:val="0"/>
      <w:marBottom w:val="0"/>
      <w:divBdr>
        <w:top w:val="none" w:sz="0" w:space="0" w:color="auto"/>
        <w:left w:val="none" w:sz="0" w:space="0" w:color="auto"/>
        <w:bottom w:val="none" w:sz="0" w:space="0" w:color="auto"/>
        <w:right w:val="none" w:sz="0" w:space="0" w:color="auto"/>
      </w:divBdr>
    </w:div>
    <w:div w:id="1086420038">
      <w:bodyDiv w:val="1"/>
      <w:marLeft w:val="0"/>
      <w:marRight w:val="0"/>
      <w:marTop w:val="0"/>
      <w:marBottom w:val="0"/>
      <w:divBdr>
        <w:top w:val="none" w:sz="0" w:space="0" w:color="auto"/>
        <w:left w:val="none" w:sz="0" w:space="0" w:color="auto"/>
        <w:bottom w:val="none" w:sz="0" w:space="0" w:color="auto"/>
        <w:right w:val="none" w:sz="0" w:space="0" w:color="auto"/>
      </w:divBdr>
    </w:div>
    <w:div w:id="1154102571">
      <w:bodyDiv w:val="1"/>
      <w:marLeft w:val="0"/>
      <w:marRight w:val="0"/>
      <w:marTop w:val="0"/>
      <w:marBottom w:val="0"/>
      <w:divBdr>
        <w:top w:val="none" w:sz="0" w:space="0" w:color="auto"/>
        <w:left w:val="none" w:sz="0" w:space="0" w:color="auto"/>
        <w:bottom w:val="none" w:sz="0" w:space="0" w:color="auto"/>
        <w:right w:val="none" w:sz="0" w:space="0" w:color="auto"/>
      </w:divBdr>
    </w:div>
    <w:div w:id="1196772756">
      <w:bodyDiv w:val="1"/>
      <w:marLeft w:val="0"/>
      <w:marRight w:val="0"/>
      <w:marTop w:val="0"/>
      <w:marBottom w:val="0"/>
      <w:divBdr>
        <w:top w:val="none" w:sz="0" w:space="0" w:color="auto"/>
        <w:left w:val="none" w:sz="0" w:space="0" w:color="auto"/>
        <w:bottom w:val="none" w:sz="0" w:space="0" w:color="auto"/>
        <w:right w:val="none" w:sz="0" w:space="0" w:color="auto"/>
      </w:divBdr>
    </w:div>
    <w:div w:id="1243638602">
      <w:bodyDiv w:val="1"/>
      <w:marLeft w:val="0"/>
      <w:marRight w:val="0"/>
      <w:marTop w:val="0"/>
      <w:marBottom w:val="0"/>
      <w:divBdr>
        <w:top w:val="none" w:sz="0" w:space="0" w:color="auto"/>
        <w:left w:val="none" w:sz="0" w:space="0" w:color="auto"/>
        <w:bottom w:val="none" w:sz="0" w:space="0" w:color="auto"/>
        <w:right w:val="none" w:sz="0" w:space="0" w:color="auto"/>
      </w:divBdr>
    </w:div>
    <w:div w:id="1306206478">
      <w:bodyDiv w:val="1"/>
      <w:marLeft w:val="0"/>
      <w:marRight w:val="0"/>
      <w:marTop w:val="0"/>
      <w:marBottom w:val="0"/>
      <w:divBdr>
        <w:top w:val="none" w:sz="0" w:space="0" w:color="auto"/>
        <w:left w:val="none" w:sz="0" w:space="0" w:color="auto"/>
        <w:bottom w:val="none" w:sz="0" w:space="0" w:color="auto"/>
        <w:right w:val="none" w:sz="0" w:space="0" w:color="auto"/>
      </w:divBdr>
    </w:div>
    <w:div w:id="1329410027">
      <w:bodyDiv w:val="1"/>
      <w:marLeft w:val="0"/>
      <w:marRight w:val="0"/>
      <w:marTop w:val="0"/>
      <w:marBottom w:val="0"/>
      <w:divBdr>
        <w:top w:val="none" w:sz="0" w:space="0" w:color="auto"/>
        <w:left w:val="none" w:sz="0" w:space="0" w:color="auto"/>
        <w:bottom w:val="none" w:sz="0" w:space="0" w:color="auto"/>
        <w:right w:val="none" w:sz="0" w:space="0" w:color="auto"/>
      </w:divBdr>
    </w:div>
    <w:div w:id="1470052860">
      <w:bodyDiv w:val="1"/>
      <w:marLeft w:val="0"/>
      <w:marRight w:val="0"/>
      <w:marTop w:val="0"/>
      <w:marBottom w:val="0"/>
      <w:divBdr>
        <w:top w:val="none" w:sz="0" w:space="0" w:color="auto"/>
        <w:left w:val="none" w:sz="0" w:space="0" w:color="auto"/>
        <w:bottom w:val="none" w:sz="0" w:space="0" w:color="auto"/>
        <w:right w:val="none" w:sz="0" w:space="0" w:color="auto"/>
      </w:divBdr>
    </w:div>
    <w:div w:id="1471558228">
      <w:bodyDiv w:val="1"/>
      <w:marLeft w:val="0"/>
      <w:marRight w:val="0"/>
      <w:marTop w:val="0"/>
      <w:marBottom w:val="0"/>
      <w:divBdr>
        <w:top w:val="none" w:sz="0" w:space="0" w:color="auto"/>
        <w:left w:val="none" w:sz="0" w:space="0" w:color="auto"/>
        <w:bottom w:val="none" w:sz="0" w:space="0" w:color="auto"/>
        <w:right w:val="none" w:sz="0" w:space="0" w:color="auto"/>
      </w:divBdr>
    </w:div>
    <w:div w:id="1520122940">
      <w:bodyDiv w:val="1"/>
      <w:marLeft w:val="0"/>
      <w:marRight w:val="0"/>
      <w:marTop w:val="0"/>
      <w:marBottom w:val="0"/>
      <w:divBdr>
        <w:top w:val="none" w:sz="0" w:space="0" w:color="auto"/>
        <w:left w:val="none" w:sz="0" w:space="0" w:color="auto"/>
        <w:bottom w:val="none" w:sz="0" w:space="0" w:color="auto"/>
        <w:right w:val="none" w:sz="0" w:space="0" w:color="auto"/>
      </w:divBdr>
    </w:div>
    <w:div w:id="1533692580">
      <w:bodyDiv w:val="1"/>
      <w:marLeft w:val="0"/>
      <w:marRight w:val="0"/>
      <w:marTop w:val="0"/>
      <w:marBottom w:val="0"/>
      <w:divBdr>
        <w:top w:val="none" w:sz="0" w:space="0" w:color="auto"/>
        <w:left w:val="none" w:sz="0" w:space="0" w:color="auto"/>
        <w:bottom w:val="none" w:sz="0" w:space="0" w:color="auto"/>
        <w:right w:val="none" w:sz="0" w:space="0" w:color="auto"/>
      </w:divBdr>
    </w:div>
    <w:div w:id="1715881869">
      <w:bodyDiv w:val="1"/>
      <w:marLeft w:val="0"/>
      <w:marRight w:val="0"/>
      <w:marTop w:val="0"/>
      <w:marBottom w:val="0"/>
      <w:divBdr>
        <w:top w:val="none" w:sz="0" w:space="0" w:color="auto"/>
        <w:left w:val="none" w:sz="0" w:space="0" w:color="auto"/>
        <w:bottom w:val="none" w:sz="0" w:space="0" w:color="auto"/>
        <w:right w:val="none" w:sz="0" w:space="0" w:color="auto"/>
      </w:divBdr>
    </w:div>
    <w:div w:id="1776902463">
      <w:bodyDiv w:val="1"/>
      <w:marLeft w:val="0"/>
      <w:marRight w:val="0"/>
      <w:marTop w:val="0"/>
      <w:marBottom w:val="0"/>
      <w:divBdr>
        <w:top w:val="none" w:sz="0" w:space="0" w:color="auto"/>
        <w:left w:val="none" w:sz="0" w:space="0" w:color="auto"/>
        <w:bottom w:val="none" w:sz="0" w:space="0" w:color="auto"/>
        <w:right w:val="none" w:sz="0" w:space="0" w:color="auto"/>
      </w:divBdr>
    </w:div>
    <w:div w:id="1805196482">
      <w:bodyDiv w:val="1"/>
      <w:marLeft w:val="0"/>
      <w:marRight w:val="0"/>
      <w:marTop w:val="0"/>
      <w:marBottom w:val="0"/>
      <w:divBdr>
        <w:top w:val="none" w:sz="0" w:space="0" w:color="auto"/>
        <w:left w:val="none" w:sz="0" w:space="0" w:color="auto"/>
        <w:bottom w:val="none" w:sz="0" w:space="0" w:color="auto"/>
        <w:right w:val="none" w:sz="0" w:space="0" w:color="auto"/>
      </w:divBdr>
    </w:div>
    <w:div w:id="1830100870">
      <w:bodyDiv w:val="1"/>
      <w:marLeft w:val="0"/>
      <w:marRight w:val="0"/>
      <w:marTop w:val="0"/>
      <w:marBottom w:val="0"/>
      <w:divBdr>
        <w:top w:val="none" w:sz="0" w:space="0" w:color="auto"/>
        <w:left w:val="none" w:sz="0" w:space="0" w:color="auto"/>
        <w:bottom w:val="none" w:sz="0" w:space="0" w:color="auto"/>
        <w:right w:val="none" w:sz="0" w:space="0" w:color="auto"/>
      </w:divBdr>
    </w:div>
    <w:div w:id="1843006447">
      <w:bodyDiv w:val="1"/>
      <w:marLeft w:val="0"/>
      <w:marRight w:val="0"/>
      <w:marTop w:val="0"/>
      <w:marBottom w:val="0"/>
      <w:divBdr>
        <w:top w:val="none" w:sz="0" w:space="0" w:color="auto"/>
        <w:left w:val="none" w:sz="0" w:space="0" w:color="auto"/>
        <w:bottom w:val="none" w:sz="0" w:space="0" w:color="auto"/>
        <w:right w:val="none" w:sz="0" w:space="0" w:color="auto"/>
      </w:divBdr>
    </w:div>
    <w:div w:id="1920601507">
      <w:bodyDiv w:val="1"/>
      <w:marLeft w:val="0"/>
      <w:marRight w:val="0"/>
      <w:marTop w:val="0"/>
      <w:marBottom w:val="0"/>
      <w:divBdr>
        <w:top w:val="none" w:sz="0" w:space="0" w:color="auto"/>
        <w:left w:val="none" w:sz="0" w:space="0" w:color="auto"/>
        <w:bottom w:val="none" w:sz="0" w:space="0" w:color="auto"/>
        <w:right w:val="none" w:sz="0" w:space="0" w:color="auto"/>
      </w:divBdr>
    </w:div>
    <w:div w:id="2011367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Colors" Target="diagrams/colors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diagramData" Target="diagrams/data1.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diagramDrawing" Target="diagrams/drawing1.xml"/><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16F1745-158B-4D4B-A7BF-C6C73FEF98A4}" type="doc">
      <dgm:prSet loTypeId="urn:microsoft.com/office/officeart/2005/8/layout/hierarchy1" loCatId="hierarchy" qsTypeId="urn:microsoft.com/office/officeart/2005/8/quickstyle/simple1" qsCatId="simple" csTypeId="urn:microsoft.com/office/officeart/2005/8/colors/accent1_1" csCatId="accent1" phldr="1"/>
      <dgm:spPr/>
      <dgm:t>
        <a:bodyPr/>
        <a:lstStyle/>
        <a:p>
          <a:endParaRPr lang="es-EC"/>
        </a:p>
      </dgm:t>
    </dgm:pt>
    <dgm:pt modelId="{7D989CF0-08AE-4980-97D1-FC66E130DA24}">
      <dgm:prSet phldrT="[Texto]" custT="1"/>
      <dgm:spPr/>
      <dgm:t>
        <a:bodyPr/>
        <a:lstStyle/>
        <a:p>
          <a:pPr algn="ctr"/>
          <a:r>
            <a:rPr lang="es-EC" sz="1000">
              <a:latin typeface="Century Gothic" panose="020B0502020202020204" pitchFamily="34" charset="0"/>
            </a:rPr>
            <a:t>Unidad legal</a:t>
          </a:r>
        </a:p>
      </dgm:t>
    </dgm:pt>
    <dgm:pt modelId="{CBE9A7CA-5E53-4E50-9228-E0F056039C91}" type="parTrans" cxnId="{1325FFA5-B4EB-4C7A-9413-275B87126016}">
      <dgm:prSet/>
      <dgm:spPr/>
      <dgm:t>
        <a:bodyPr/>
        <a:lstStyle/>
        <a:p>
          <a:pPr algn="ctr"/>
          <a:endParaRPr lang="es-EC" sz="1000">
            <a:latin typeface="Century Gothic" panose="020B0502020202020204" pitchFamily="34" charset="0"/>
          </a:endParaRPr>
        </a:p>
      </dgm:t>
    </dgm:pt>
    <dgm:pt modelId="{4EF6A2BE-D07E-44ED-B22B-84070B4FFFC2}" type="sibTrans" cxnId="{1325FFA5-B4EB-4C7A-9413-275B87126016}">
      <dgm:prSet/>
      <dgm:spPr/>
      <dgm:t>
        <a:bodyPr/>
        <a:lstStyle/>
        <a:p>
          <a:pPr algn="ctr"/>
          <a:endParaRPr lang="es-EC" sz="1000">
            <a:latin typeface="Century Gothic" panose="020B0502020202020204" pitchFamily="34" charset="0"/>
          </a:endParaRPr>
        </a:p>
      </dgm:t>
    </dgm:pt>
    <dgm:pt modelId="{309FAF1F-CF2B-4CEF-80B9-464C558742E5}">
      <dgm:prSet phldrT="[Texto]" custT="1"/>
      <dgm:spPr/>
      <dgm:t>
        <a:bodyPr/>
        <a:lstStyle/>
        <a:p>
          <a:pPr algn="ctr"/>
          <a:r>
            <a:rPr lang="es-EC" sz="1000">
              <a:latin typeface="Century Gothic" panose="020B0502020202020204" pitchFamily="34" charset="0"/>
            </a:rPr>
            <a:t>Empresa</a:t>
          </a:r>
        </a:p>
      </dgm:t>
    </dgm:pt>
    <dgm:pt modelId="{B3BF9042-159C-4604-B6FF-2F3D722886A8}" type="parTrans" cxnId="{5978C897-6FB2-4E42-9FEA-8AF4241BB30D}">
      <dgm:prSet/>
      <dgm:spPr/>
      <dgm:t>
        <a:bodyPr/>
        <a:lstStyle/>
        <a:p>
          <a:pPr algn="ctr"/>
          <a:endParaRPr lang="es-EC" sz="1000">
            <a:latin typeface="Century Gothic" panose="020B0502020202020204" pitchFamily="34" charset="0"/>
          </a:endParaRPr>
        </a:p>
      </dgm:t>
    </dgm:pt>
    <dgm:pt modelId="{E4497654-94F9-48C8-8222-227298FD2A91}" type="sibTrans" cxnId="{5978C897-6FB2-4E42-9FEA-8AF4241BB30D}">
      <dgm:prSet/>
      <dgm:spPr/>
      <dgm:t>
        <a:bodyPr/>
        <a:lstStyle/>
        <a:p>
          <a:pPr algn="ctr"/>
          <a:endParaRPr lang="es-EC" sz="1000">
            <a:latin typeface="Century Gothic" panose="020B0502020202020204" pitchFamily="34" charset="0"/>
          </a:endParaRPr>
        </a:p>
      </dgm:t>
    </dgm:pt>
    <dgm:pt modelId="{3806B2D2-9221-48E3-B37C-F5E311A5DEE9}">
      <dgm:prSet phldrT="[Texto]" custT="1"/>
      <dgm:spPr/>
      <dgm:t>
        <a:bodyPr/>
        <a:lstStyle/>
        <a:p>
          <a:pPr algn="ctr"/>
          <a:r>
            <a:rPr lang="es-EC" sz="1000">
              <a:latin typeface="Century Gothic" panose="020B0502020202020204" pitchFamily="34" charset="0"/>
            </a:rPr>
            <a:t>Unidad local</a:t>
          </a:r>
        </a:p>
      </dgm:t>
    </dgm:pt>
    <dgm:pt modelId="{BD163A4C-6DF0-460B-BF8B-0FBED571C17F}" type="parTrans" cxnId="{B977A588-226C-421E-B30B-CB483DD26018}">
      <dgm:prSet/>
      <dgm:spPr/>
      <dgm:t>
        <a:bodyPr/>
        <a:lstStyle/>
        <a:p>
          <a:pPr algn="ctr"/>
          <a:endParaRPr lang="es-EC" sz="1000">
            <a:latin typeface="Century Gothic" panose="020B0502020202020204" pitchFamily="34" charset="0"/>
          </a:endParaRPr>
        </a:p>
      </dgm:t>
    </dgm:pt>
    <dgm:pt modelId="{49C89801-CE68-4F27-88EC-580412E562B0}" type="sibTrans" cxnId="{B977A588-226C-421E-B30B-CB483DD26018}">
      <dgm:prSet/>
      <dgm:spPr/>
      <dgm:t>
        <a:bodyPr/>
        <a:lstStyle/>
        <a:p>
          <a:pPr algn="ctr"/>
          <a:endParaRPr lang="es-EC" sz="1000">
            <a:latin typeface="Century Gothic" panose="020B0502020202020204" pitchFamily="34" charset="0"/>
          </a:endParaRPr>
        </a:p>
      </dgm:t>
    </dgm:pt>
    <dgm:pt modelId="{A5BC3032-112C-4C93-8B4B-5FF5C1ED3C25}" type="pres">
      <dgm:prSet presAssocID="{216F1745-158B-4D4B-A7BF-C6C73FEF98A4}" presName="hierChild1" presStyleCnt="0">
        <dgm:presLayoutVars>
          <dgm:chPref val="1"/>
          <dgm:dir/>
          <dgm:animOne val="branch"/>
          <dgm:animLvl val="lvl"/>
          <dgm:resizeHandles/>
        </dgm:presLayoutVars>
      </dgm:prSet>
      <dgm:spPr/>
      <dgm:t>
        <a:bodyPr/>
        <a:lstStyle/>
        <a:p>
          <a:endParaRPr lang="es-EC"/>
        </a:p>
      </dgm:t>
    </dgm:pt>
    <dgm:pt modelId="{15986671-EBD0-48C2-832D-9AB7541EB547}" type="pres">
      <dgm:prSet presAssocID="{7D989CF0-08AE-4980-97D1-FC66E130DA24}" presName="hierRoot1" presStyleCnt="0"/>
      <dgm:spPr/>
    </dgm:pt>
    <dgm:pt modelId="{678ABEFB-3250-4D76-BD27-5F5525F19C7A}" type="pres">
      <dgm:prSet presAssocID="{7D989CF0-08AE-4980-97D1-FC66E130DA24}" presName="composite" presStyleCnt="0"/>
      <dgm:spPr/>
    </dgm:pt>
    <dgm:pt modelId="{3BB3FAE7-BE4F-452A-9AEE-FA4007FA2B7F}" type="pres">
      <dgm:prSet presAssocID="{7D989CF0-08AE-4980-97D1-FC66E130DA24}" presName="background" presStyleLbl="node0" presStyleIdx="0" presStyleCnt="1"/>
      <dgm:spPr/>
    </dgm:pt>
    <dgm:pt modelId="{E0FAA5D1-C014-4A73-8900-C111408AE227}" type="pres">
      <dgm:prSet presAssocID="{7D989CF0-08AE-4980-97D1-FC66E130DA24}" presName="text" presStyleLbl="fgAcc0" presStyleIdx="0" presStyleCnt="1" custScaleY="80557">
        <dgm:presLayoutVars>
          <dgm:chPref val="3"/>
        </dgm:presLayoutVars>
      </dgm:prSet>
      <dgm:spPr/>
      <dgm:t>
        <a:bodyPr/>
        <a:lstStyle/>
        <a:p>
          <a:endParaRPr lang="es-EC"/>
        </a:p>
      </dgm:t>
    </dgm:pt>
    <dgm:pt modelId="{08EB394C-8C44-4DB9-B4F7-AF85F46FD920}" type="pres">
      <dgm:prSet presAssocID="{7D989CF0-08AE-4980-97D1-FC66E130DA24}" presName="hierChild2" presStyleCnt="0"/>
      <dgm:spPr/>
    </dgm:pt>
    <dgm:pt modelId="{18F6F842-A02D-405D-873E-C0BFEF97ED49}" type="pres">
      <dgm:prSet presAssocID="{B3BF9042-159C-4604-B6FF-2F3D722886A8}" presName="Name10" presStyleLbl="parChTrans1D2" presStyleIdx="0" presStyleCnt="1"/>
      <dgm:spPr/>
      <dgm:t>
        <a:bodyPr/>
        <a:lstStyle/>
        <a:p>
          <a:endParaRPr lang="es-EC"/>
        </a:p>
      </dgm:t>
    </dgm:pt>
    <dgm:pt modelId="{A0C3EA92-AEFB-4D73-9828-942C1073F8C6}" type="pres">
      <dgm:prSet presAssocID="{309FAF1F-CF2B-4CEF-80B9-464C558742E5}" presName="hierRoot2" presStyleCnt="0"/>
      <dgm:spPr/>
    </dgm:pt>
    <dgm:pt modelId="{BD181E16-8DB8-4EA3-A2D9-FD47FC35CF5B}" type="pres">
      <dgm:prSet presAssocID="{309FAF1F-CF2B-4CEF-80B9-464C558742E5}" presName="composite2" presStyleCnt="0"/>
      <dgm:spPr/>
    </dgm:pt>
    <dgm:pt modelId="{C51BAB6E-32CE-4253-A03A-DF9126419AB4}" type="pres">
      <dgm:prSet presAssocID="{309FAF1F-CF2B-4CEF-80B9-464C558742E5}" presName="background2" presStyleLbl="node2" presStyleIdx="0" presStyleCnt="1"/>
      <dgm:spPr/>
    </dgm:pt>
    <dgm:pt modelId="{50D7266A-C7D6-441B-B02F-60FC3332552E}" type="pres">
      <dgm:prSet presAssocID="{309FAF1F-CF2B-4CEF-80B9-464C558742E5}" presName="text2" presStyleLbl="fgAcc2" presStyleIdx="0" presStyleCnt="1" custScaleY="72282">
        <dgm:presLayoutVars>
          <dgm:chPref val="3"/>
        </dgm:presLayoutVars>
      </dgm:prSet>
      <dgm:spPr/>
      <dgm:t>
        <a:bodyPr/>
        <a:lstStyle/>
        <a:p>
          <a:endParaRPr lang="es-EC"/>
        </a:p>
      </dgm:t>
    </dgm:pt>
    <dgm:pt modelId="{DF6A3890-2E4F-4569-B3E5-9631333DF986}" type="pres">
      <dgm:prSet presAssocID="{309FAF1F-CF2B-4CEF-80B9-464C558742E5}" presName="hierChild3" presStyleCnt="0"/>
      <dgm:spPr/>
    </dgm:pt>
    <dgm:pt modelId="{5C599162-A326-46E6-8F6F-4548045C676B}" type="pres">
      <dgm:prSet presAssocID="{BD163A4C-6DF0-460B-BF8B-0FBED571C17F}" presName="Name17" presStyleLbl="parChTrans1D3" presStyleIdx="0" presStyleCnt="1"/>
      <dgm:spPr/>
      <dgm:t>
        <a:bodyPr/>
        <a:lstStyle/>
        <a:p>
          <a:endParaRPr lang="es-EC"/>
        </a:p>
      </dgm:t>
    </dgm:pt>
    <dgm:pt modelId="{A66E121C-E50C-4E9D-87A6-1EAE4EE55EC7}" type="pres">
      <dgm:prSet presAssocID="{3806B2D2-9221-48E3-B37C-F5E311A5DEE9}" presName="hierRoot3" presStyleCnt="0"/>
      <dgm:spPr/>
    </dgm:pt>
    <dgm:pt modelId="{1967F0E5-D7A7-46C2-8E7F-058638B237ED}" type="pres">
      <dgm:prSet presAssocID="{3806B2D2-9221-48E3-B37C-F5E311A5DEE9}" presName="composite3" presStyleCnt="0"/>
      <dgm:spPr/>
    </dgm:pt>
    <dgm:pt modelId="{A1158CA4-AFFD-4C55-88F0-3BBD27FE7A4F}" type="pres">
      <dgm:prSet presAssocID="{3806B2D2-9221-48E3-B37C-F5E311A5DEE9}" presName="background3" presStyleLbl="node3" presStyleIdx="0" presStyleCnt="1"/>
      <dgm:spPr/>
    </dgm:pt>
    <dgm:pt modelId="{12138A62-F5C7-494A-BE07-DD4A723E9E2C}" type="pres">
      <dgm:prSet presAssocID="{3806B2D2-9221-48E3-B37C-F5E311A5DEE9}" presName="text3" presStyleLbl="fgAcc3" presStyleIdx="0" presStyleCnt="1" custScaleY="71895">
        <dgm:presLayoutVars>
          <dgm:chPref val="3"/>
        </dgm:presLayoutVars>
      </dgm:prSet>
      <dgm:spPr/>
      <dgm:t>
        <a:bodyPr/>
        <a:lstStyle/>
        <a:p>
          <a:endParaRPr lang="es-EC"/>
        </a:p>
      </dgm:t>
    </dgm:pt>
    <dgm:pt modelId="{5869C028-310E-4208-8DA7-AEFE536107C8}" type="pres">
      <dgm:prSet presAssocID="{3806B2D2-9221-48E3-B37C-F5E311A5DEE9}" presName="hierChild4" presStyleCnt="0"/>
      <dgm:spPr/>
    </dgm:pt>
  </dgm:ptLst>
  <dgm:cxnLst>
    <dgm:cxn modelId="{45F131FA-BD0C-4BF5-BA1B-EF95A038E24E}" type="presOf" srcId="{BD163A4C-6DF0-460B-BF8B-0FBED571C17F}" destId="{5C599162-A326-46E6-8F6F-4548045C676B}" srcOrd="0" destOrd="0" presId="urn:microsoft.com/office/officeart/2005/8/layout/hierarchy1"/>
    <dgm:cxn modelId="{B977A588-226C-421E-B30B-CB483DD26018}" srcId="{309FAF1F-CF2B-4CEF-80B9-464C558742E5}" destId="{3806B2D2-9221-48E3-B37C-F5E311A5DEE9}" srcOrd="0" destOrd="0" parTransId="{BD163A4C-6DF0-460B-BF8B-0FBED571C17F}" sibTransId="{49C89801-CE68-4F27-88EC-580412E562B0}"/>
    <dgm:cxn modelId="{32A73EAB-564D-4B84-B056-F3F704DDA843}" type="presOf" srcId="{216F1745-158B-4D4B-A7BF-C6C73FEF98A4}" destId="{A5BC3032-112C-4C93-8B4B-5FF5C1ED3C25}" srcOrd="0" destOrd="0" presId="urn:microsoft.com/office/officeart/2005/8/layout/hierarchy1"/>
    <dgm:cxn modelId="{8131A0E3-645E-4B8D-B534-51D1520DCA1E}" type="presOf" srcId="{3806B2D2-9221-48E3-B37C-F5E311A5DEE9}" destId="{12138A62-F5C7-494A-BE07-DD4A723E9E2C}" srcOrd="0" destOrd="0" presId="urn:microsoft.com/office/officeart/2005/8/layout/hierarchy1"/>
    <dgm:cxn modelId="{8E7B4DB9-7D3B-4540-8B81-17D2C1B0BC70}" type="presOf" srcId="{309FAF1F-CF2B-4CEF-80B9-464C558742E5}" destId="{50D7266A-C7D6-441B-B02F-60FC3332552E}" srcOrd="0" destOrd="0" presId="urn:microsoft.com/office/officeart/2005/8/layout/hierarchy1"/>
    <dgm:cxn modelId="{5978C897-6FB2-4E42-9FEA-8AF4241BB30D}" srcId="{7D989CF0-08AE-4980-97D1-FC66E130DA24}" destId="{309FAF1F-CF2B-4CEF-80B9-464C558742E5}" srcOrd="0" destOrd="0" parTransId="{B3BF9042-159C-4604-B6FF-2F3D722886A8}" sibTransId="{E4497654-94F9-48C8-8222-227298FD2A91}"/>
    <dgm:cxn modelId="{1325FFA5-B4EB-4C7A-9413-275B87126016}" srcId="{216F1745-158B-4D4B-A7BF-C6C73FEF98A4}" destId="{7D989CF0-08AE-4980-97D1-FC66E130DA24}" srcOrd="0" destOrd="0" parTransId="{CBE9A7CA-5E53-4E50-9228-E0F056039C91}" sibTransId="{4EF6A2BE-D07E-44ED-B22B-84070B4FFFC2}"/>
    <dgm:cxn modelId="{8F0A9B24-022C-4707-9B0F-22881B5E6A85}" type="presOf" srcId="{7D989CF0-08AE-4980-97D1-FC66E130DA24}" destId="{E0FAA5D1-C014-4A73-8900-C111408AE227}" srcOrd="0" destOrd="0" presId="urn:microsoft.com/office/officeart/2005/8/layout/hierarchy1"/>
    <dgm:cxn modelId="{C937C53D-4CE0-474B-A92F-263309247961}" type="presOf" srcId="{B3BF9042-159C-4604-B6FF-2F3D722886A8}" destId="{18F6F842-A02D-405D-873E-C0BFEF97ED49}" srcOrd="0" destOrd="0" presId="urn:microsoft.com/office/officeart/2005/8/layout/hierarchy1"/>
    <dgm:cxn modelId="{8CE72294-12FA-4C5A-861A-7BF6C2178AC0}" type="presParOf" srcId="{A5BC3032-112C-4C93-8B4B-5FF5C1ED3C25}" destId="{15986671-EBD0-48C2-832D-9AB7541EB547}" srcOrd="0" destOrd="0" presId="urn:microsoft.com/office/officeart/2005/8/layout/hierarchy1"/>
    <dgm:cxn modelId="{5059AB12-3ED2-481F-AD2F-45946DEC378A}" type="presParOf" srcId="{15986671-EBD0-48C2-832D-9AB7541EB547}" destId="{678ABEFB-3250-4D76-BD27-5F5525F19C7A}" srcOrd="0" destOrd="0" presId="urn:microsoft.com/office/officeart/2005/8/layout/hierarchy1"/>
    <dgm:cxn modelId="{5098A6AD-B995-44B3-843B-5BD29991BA82}" type="presParOf" srcId="{678ABEFB-3250-4D76-BD27-5F5525F19C7A}" destId="{3BB3FAE7-BE4F-452A-9AEE-FA4007FA2B7F}" srcOrd="0" destOrd="0" presId="urn:microsoft.com/office/officeart/2005/8/layout/hierarchy1"/>
    <dgm:cxn modelId="{D5D32E16-47D2-452A-8BB3-4D99F7A1AFE5}" type="presParOf" srcId="{678ABEFB-3250-4D76-BD27-5F5525F19C7A}" destId="{E0FAA5D1-C014-4A73-8900-C111408AE227}" srcOrd="1" destOrd="0" presId="urn:microsoft.com/office/officeart/2005/8/layout/hierarchy1"/>
    <dgm:cxn modelId="{5B16D39B-957C-4BE8-980E-272816D45C83}" type="presParOf" srcId="{15986671-EBD0-48C2-832D-9AB7541EB547}" destId="{08EB394C-8C44-4DB9-B4F7-AF85F46FD920}" srcOrd="1" destOrd="0" presId="urn:microsoft.com/office/officeart/2005/8/layout/hierarchy1"/>
    <dgm:cxn modelId="{0C35CEEC-282B-4D4E-BA77-77461718031F}" type="presParOf" srcId="{08EB394C-8C44-4DB9-B4F7-AF85F46FD920}" destId="{18F6F842-A02D-405D-873E-C0BFEF97ED49}" srcOrd="0" destOrd="0" presId="urn:microsoft.com/office/officeart/2005/8/layout/hierarchy1"/>
    <dgm:cxn modelId="{5BD9B21C-6891-4AA8-8C67-BE595C440345}" type="presParOf" srcId="{08EB394C-8C44-4DB9-B4F7-AF85F46FD920}" destId="{A0C3EA92-AEFB-4D73-9828-942C1073F8C6}" srcOrd="1" destOrd="0" presId="urn:microsoft.com/office/officeart/2005/8/layout/hierarchy1"/>
    <dgm:cxn modelId="{BDA9CBCE-0E4E-48BF-98BE-B85BC152D3D9}" type="presParOf" srcId="{A0C3EA92-AEFB-4D73-9828-942C1073F8C6}" destId="{BD181E16-8DB8-4EA3-A2D9-FD47FC35CF5B}" srcOrd="0" destOrd="0" presId="urn:microsoft.com/office/officeart/2005/8/layout/hierarchy1"/>
    <dgm:cxn modelId="{BD0D70D5-A6A8-4AB8-AD28-C0F8D10B5139}" type="presParOf" srcId="{BD181E16-8DB8-4EA3-A2D9-FD47FC35CF5B}" destId="{C51BAB6E-32CE-4253-A03A-DF9126419AB4}" srcOrd="0" destOrd="0" presId="urn:microsoft.com/office/officeart/2005/8/layout/hierarchy1"/>
    <dgm:cxn modelId="{D9D5417E-E500-431A-AC6C-8307F695605E}" type="presParOf" srcId="{BD181E16-8DB8-4EA3-A2D9-FD47FC35CF5B}" destId="{50D7266A-C7D6-441B-B02F-60FC3332552E}" srcOrd="1" destOrd="0" presId="urn:microsoft.com/office/officeart/2005/8/layout/hierarchy1"/>
    <dgm:cxn modelId="{7ED41039-01A7-4B26-955D-08C35B57966C}" type="presParOf" srcId="{A0C3EA92-AEFB-4D73-9828-942C1073F8C6}" destId="{DF6A3890-2E4F-4569-B3E5-9631333DF986}" srcOrd="1" destOrd="0" presId="urn:microsoft.com/office/officeart/2005/8/layout/hierarchy1"/>
    <dgm:cxn modelId="{C8475E12-12B2-4D3C-B61C-F4BA020A779D}" type="presParOf" srcId="{DF6A3890-2E4F-4569-B3E5-9631333DF986}" destId="{5C599162-A326-46E6-8F6F-4548045C676B}" srcOrd="0" destOrd="0" presId="urn:microsoft.com/office/officeart/2005/8/layout/hierarchy1"/>
    <dgm:cxn modelId="{0D546025-3DC4-4234-9D56-388D0B341213}" type="presParOf" srcId="{DF6A3890-2E4F-4569-B3E5-9631333DF986}" destId="{A66E121C-E50C-4E9D-87A6-1EAE4EE55EC7}" srcOrd="1" destOrd="0" presId="urn:microsoft.com/office/officeart/2005/8/layout/hierarchy1"/>
    <dgm:cxn modelId="{FC6B90F0-FBFB-41C1-AAA9-96327CDB23B4}" type="presParOf" srcId="{A66E121C-E50C-4E9D-87A6-1EAE4EE55EC7}" destId="{1967F0E5-D7A7-46C2-8E7F-058638B237ED}" srcOrd="0" destOrd="0" presId="urn:microsoft.com/office/officeart/2005/8/layout/hierarchy1"/>
    <dgm:cxn modelId="{BE322FAC-9F94-443B-97A3-4CB155183351}" type="presParOf" srcId="{1967F0E5-D7A7-46C2-8E7F-058638B237ED}" destId="{A1158CA4-AFFD-4C55-88F0-3BBD27FE7A4F}" srcOrd="0" destOrd="0" presId="urn:microsoft.com/office/officeart/2005/8/layout/hierarchy1"/>
    <dgm:cxn modelId="{CA445DFD-5602-4C6E-B321-35C32387E9AF}" type="presParOf" srcId="{1967F0E5-D7A7-46C2-8E7F-058638B237ED}" destId="{12138A62-F5C7-494A-BE07-DD4A723E9E2C}" srcOrd="1" destOrd="0" presId="urn:microsoft.com/office/officeart/2005/8/layout/hierarchy1"/>
    <dgm:cxn modelId="{0CC012B9-AE78-4B59-A83C-2C6D61E125A2}" type="presParOf" srcId="{A66E121C-E50C-4E9D-87A6-1EAE4EE55EC7}" destId="{5869C028-310E-4208-8DA7-AEFE536107C8}" srcOrd="1" destOrd="0" presId="urn:microsoft.com/office/officeart/2005/8/layout/hierarchy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599162-A326-46E6-8F6F-4548045C676B}">
      <dsp:nvSpPr>
        <dsp:cNvPr id="0" name=""/>
        <dsp:cNvSpPr/>
      </dsp:nvSpPr>
      <dsp:spPr>
        <a:xfrm>
          <a:off x="1703774" y="1909230"/>
          <a:ext cx="91440" cy="440096"/>
        </a:xfrm>
        <a:custGeom>
          <a:avLst/>
          <a:gdLst/>
          <a:ahLst/>
          <a:cxnLst/>
          <a:rect l="0" t="0" r="0" b="0"/>
          <a:pathLst>
            <a:path>
              <a:moveTo>
                <a:pt x="45720" y="0"/>
              </a:moveTo>
              <a:lnTo>
                <a:pt x="45720" y="440096"/>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8F6F842-A02D-405D-873E-C0BFEF97ED49}">
      <dsp:nvSpPr>
        <dsp:cNvPr id="0" name=""/>
        <dsp:cNvSpPr/>
      </dsp:nvSpPr>
      <dsp:spPr>
        <a:xfrm>
          <a:off x="1703774" y="774576"/>
          <a:ext cx="91440" cy="440096"/>
        </a:xfrm>
        <a:custGeom>
          <a:avLst/>
          <a:gdLst/>
          <a:ahLst/>
          <a:cxnLst/>
          <a:rect l="0" t="0" r="0" b="0"/>
          <a:pathLst>
            <a:path>
              <a:moveTo>
                <a:pt x="45720" y="0"/>
              </a:moveTo>
              <a:lnTo>
                <a:pt x="45720" y="44009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B3FAE7-BE4F-452A-9AEE-FA4007FA2B7F}">
      <dsp:nvSpPr>
        <dsp:cNvPr id="0" name=""/>
        <dsp:cNvSpPr/>
      </dsp:nvSpPr>
      <dsp:spPr>
        <a:xfrm>
          <a:off x="992881" y="505"/>
          <a:ext cx="1513226" cy="774071"/>
        </a:xfrm>
        <a:prstGeom prst="roundRect">
          <a:avLst>
            <a:gd name="adj" fmla="val 10000"/>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0FAA5D1-C014-4A73-8900-C111408AE227}">
      <dsp:nvSpPr>
        <dsp:cNvPr id="0" name=""/>
        <dsp:cNvSpPr/>
      </dsp:nvSpPr>
      <dsp:spPr>
        <a:xfrm>
          <a:off x="1161017" y="160235"/>
          <a:ext cx="1513226" cy="774071"/>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C" sz="1000" kern="1200">
              <a:latin typeface="Century Gothic" panose="020B0502020202020204" pitchFamily="34" charset="0"/>
            </a:rPr>
            <a:t>Unidad legal</a:t>
          </a:r>
        </a:p>
      </dsp:txBody>
      <dsp:txXfrm>
        <a:off x="1183689" y="182907"/>
        <a:ext cx="1467882" cy="728727"/>
      </dsp:txXfrm>
    </dsp:sp>
    <dsp:sp modelId="{C51BAB6E-32CE-4253-A03A-DF9126419AB4}">
      <dsp:nvSpPr>
        <dsp:cNvPr id="0" name=""/>
        <dsp:cNvSpPr/>
      </dsp:nvSpPr>
      <dsp:spPr>
        <a:xfrm>
          <a:off x="992881" y="1214673"/>
          <a:ext cx="1513226" cy="694556"/>
        </a:xfrm>
        <a:prstGeom prst="roundRect">
          <a:avLst>
            <a:gd name="adj" fmla="val 10000"/>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0D7266A-C7D6-441B-B02F-60FC3332552E}">
      <dsp:nvSpPr>
        <dsp:cNvPr id="0" name=""/>
        <dsp:cNvSpPr/>
      </dsp:nvSpPr>
      <dsp:spPr>
        <a:xfrm>
          <a:off x="1161017" y="1374402"/>
          <a:ext cx="1513226" cy="694556"/>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C" sz="1000" kern="1200">
              <a:latin typeface="Century Gothic" panose="020B0502020202020204" pitchFamily="34" charset="0"/>
            </a:rPr>
            <a:t>Empresa</a:t>
          </a:r>
        </a:p>
      </dsp:txBody>
      <dsp:txXfrm>
        <a:off x="1181360" y="1394745"/>
        <a:ext cx="1472540" cy="653870"/>
      </dsp:txXfrm>
    </dsp:sp>
    <dsp:sp modelId="{A1158CA4-AFFD-4C55-88F0-3BBD27FE7A4F}">
      <dsp:nvSpPr>
        <dsp:cNvPr id="0" name=""/>
        <dsp:cNvSpPr/>
      </dsp:nvSpPr>
      <dsp:spPr>
        <a:xfrm>
          <a:off x="992881" y="2349326"/>
          <a:ext cx="1513226" cy="690838"/>
        </a:xfrm>
        <a:prstGeom prst="roundRect">
          <a:avLst>
            <a:gd name="adj" fmla="val 10000"/>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2138A62-F5C7-494A-BE07-DD4A723E9E2C}">
      <dsp:nvSpPr>
        <dsp:cNvPr id="0" name=""/>
        <dsp:cNvSpPr/>
      </dsp:nvSpPr>
      <dsp:spPr>
        <a:xfrm>
          <a:off x="1161017" y="2509056"/>
          <a:ext cx="1513226" cy="690838"/>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EC" sz="1000" kern="1200">
              <a:latin typeface="Century Gothic" panose="020B0502020202020204" pitchFamily="34" charset="0"/>
            </a:rPr>
            <a:t>Unidad local</a:t>
          </a:r>
        </a:p>
      </dsp:txBody>
      <dsp:txXfrm>
        <a:off x="1181251" y="2529290"/>
        <a:ext cx="1472758" cy="65037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F86EA0F7B37349FC88574AE67CA56980"/>
        <w:category>
          <w:name w:val="General"/>
          <w:gallery w:val="placeholder"/>
        </w:category>
        <w:types>
          <w:type w:val="bbPlcHdr"/>
        </w:types>
        <w:behaviors>
          <w:behavior w:val="content"/>
        </w:behaviors>
        <w:guid w:val="{08B68E07-BDB5-41DF-A01C-3346EC62B125}"/>
      </w:docPartPr>
      <w:docPartBody>
        <w:p w:rsidR="002C6A6B" w:rsidRDefault="001435E0" w:rsidP="001435E0">
          <w:pPr>
            <w:pStyle w:val="F86EA0F7B37349FC88574AE67CA56980"/>
          </w:pPr>
          <w:r>
            <w:rPr>
              <w:rStyle w:val="Textodelmarcadordeposicin"/>
            </w:rPr>
            <w:t>Escribir aquí el nombre completo de la variable</w:t>
          </w:r>
          <w:r w:rsidRPr="00946FDD">
            <w:rPr>
              <w:rStyle w:val="Textodelmarcadordeposicin"/>
            </w:rPr>
            <w:t>.</w:t>
          </w:r>
        </w:p>
      </w:docPartBody>
    </w:docPart>
    <w:docPart>
      <w:docPartPr>
        <w:name w:val="717419649ED046939910855B185CC455"/>
        <w:category>
          <w:name w:val="General"/>
          <w:gallery w:val="placeholder"/>
        </w:category>
        <w:types>
          <w:type w:val="bbPlcHdr"/>
        </w:types>
        <w:behaviors>
          <w:behavior w:val="content"/>
        </w:behaviors>
        <w:guid w:val="{AD98A12E-544E-4C6C-A4BA-5FBB76061658}"/>
      </w:docPartPr>
      <w:docPartBody>
        <w:p w:rsidR="002C6A6B" w:rsidRDefault="001435E0" w:rsidP="001435E0">
          <w:pPr>
            <w:pStyle w:val="717419649ED046939910855B185CC455"/>
          </w:pPr>
          <w:r>
            <w:rPr>
              <w:rStyle w:val="Textodelmarcadordeposicin"/>
            </w:rPr>
            <w:t>Escribir aquí el nombre completo de la variable</w:t>
          </w:r>
          <w:r w:rsidRPr="00946FDD">
            <w:rPr>
              <w:rStyle w:val="Textodelmarcadordeposicin"/>
            </w:rPr>
            <w:t>.</w:t>
          </w:r>
        </w:p>
      </w:docPartBody>
    </w:docPart>
    <w:docPart>
      <w:docPartPr>
        <w:name w:val="CFDF213D8B1D43968C6852E167BC7043"/>
        <w:category>
          <w:name w:val="General"/>
          <w:gallery w:val="placeholder"/>
        </w:category>
        <w:types>
          <w:type w:val="bbPlcHdr"/>
        </w:types>
        <w:behaviors>
          <w:behavior w:val="content"/>
        </w:behaviors>
        <w:guid w:val="{41E3B074-0D34-4209-AC1A-4EB86A2D7F33}"/>
      </w:docPartPr>
      <w:docPartBody>
        <w:p w:rsidR="002C6A6B" w:rsidRDefault="001435E0" w:rsidP="001435E0">
          <w:pPr>
            <w:pStyle w:val="CFDF213D8B1D43968C6852E167BC7043"/>
          </w:pPr>
          <w:r>
            <w:rPr>
              <w:rStyle w:val="Textodelmarcadordeposicin"/>
            </w:rPr>
            <w:t>Escribir aquí el nombre completo de la variable</w:t>
          </w:r>
          <w:r w:rsidRPr="00946FDD">
            <w:rPr>
              <w:rStyle w:val="Textodelmarcadordeposicin"/>
            </w:rPr>
            <w:t>.</w:t>
          </w:r>
        </w:p>
      </w:docPartBody>
    </w:docPart>
    <w:docPart>
      <w:docPartPr>
        <w:name w:val="7F7AA18A04D14D12A23E9ED6E53884F0"/>
        <w:category>
          <w:name w:val="General"/>
          <w:gallery w:val="placeholder"/>
        </w:category>
        <w:types>
          <w:type w:val="bbPlcHdr"/>
        </w:types>
        <w:behaviors>
          <w:behavior w:val="content"/>
        </w:behaviors>
        <w:guid w:val="{A0F3F65C-2A3D-4415-BE4B-1AAD5CE77763}"/>
      </w:docPartPr>
      <w:docPartBody>
        <w:p w:rsidR="002C6A6B" w:rsidRDefault="001435E0" w:rsidP="001435E0">
          <w:pPr>
            <w:pStyle w:val="7F7AA18A04D14D12A23E9ED6E53884F0"/>
          </w:pPr>
          <w:r>
            <w:rPr>
              <w:rStyle w:val="Textodelmarcadordeposicin"/>
            </w:rPr>
            <w:t>Escribir aquí el nombre completo de la variable</w:t>
          </w:r>
          <w:r w:rsidRPr="00946FDD">
            <w:rPr>
              <w:rStyle w:val="Textodelmarcadordeposicin"/>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35E0"/>
    <w:rsid w:val="00063ED7"/>
    <w:rsid w:val="001435E0"/>
    <w:rsid w:val="002C6A6B"/>
    <w:rsid w:val="007D7404"/>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C" w:eastAsia="es-EC"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435E0"/>
    <w:rPr>
      <w:color w:val="808080"/>
    </w:rPr>
  </w:style>
  <w:style w:type="paragraph" w:customStyle="1" w:styleId="EF083AF7425443F6BE275205A4F01BA1">
    <w:name w:val="EF083AF7425443F6BE275205A4F01BA1"/>
    <w:rsid w:val="001435E0"/>
  </w:style>
  <w:style w:type="paragraph" w:customStyle="1" w:styleId="A4BA53850D9B4DE5841F3113DBE24CEA">
    <w:name w:val="A4BA53850D9B4DE5841F3113DBE24CEA"/>
    <w:rsid w:val="001435E0"/>
  </w:style>
  <w:style w:type="paragraph" w:customStyle="1" w:styleId="F2C98C7BC8AE4A6A93ADBE9F6C2DBC3A">
    <w:name w:val="F2C98C7BC8AE4A6A93ADBE9F6C2DBC3A"/>
    <w:rsid w:val="001435E0"/>
  </w:style>
  <w:style w:type="paragraph" w:customStyle="1" w:styleId="4A9F277827EE4906B679AAD43432571C">
    <w:name w:val="4A9F277827EE4906B679AAD43432571C"/>
    <w:rsid w:val="001435E0"/>
  </w:style>
  <w:style w:type="paragraph" w:customStyle="1" w:styleId="F86EA0F7B37349FC88574AE67CA56980">
    <w:name w:val="F86EA0F7B37349FC88574AE67CA56980"/>
    <w:rsid w:val="001435E0"/>
  </w:style>
  <w:style w:type="paragraph" w:customStyle="1" w:styleId="9A98CECFDC884CDB9DC658461AD322DA">
    <w:name w:val="9A98CECFDC884CDB9DC658461AD322DA"/>
    <w:rsid w:val="001435E0"/>
  </w:style>
  <w:style w:type="paragraph" w:customStyle="1" w:styleId="717419649ED046939910855B185CC455">
    <w:name w:val="717419649ED046939910855B185CC455"/>
    <w:rsid w:val="001435E0"/>
  </w:style>
  <w:style w:type="paragraph" w:customStyle="1" w:styleId="CFDF213D8B1D43968C6852E167BC7043">
    <w:name w:val="CFDF213D8B1D43968C6852E167BC7043"/>
    <w:rsid w:val="001435E0"/>
  </w:style>
  <w:style w:type="paragraph" w:customStyle="1" w:styleId="76F9EB1E9306496B85FFDF5262C20080">
    <w:name w:val="76F9EB1E9306496B85FFDF5262C20080"/>
    <w:rsid w:val="001435E0"/>
  </w:style>
  <w:style w:type="paragraph" w:customStyle="1" w:styleId="7F7AA18A04D14D12A23E9ED6E53884F0">
    <w:name w:val="7F7AA18A04D14D12A23E9ED6E53884F0"/>
    <w:rsid w:val="001435E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CAN08</b:Tag>
    <b:SourceType>Book</b:SourceType>
    <b:Guid>{EFE256E8-BCEE-46B7-8D35-4AAF0651D137}</b:Guid>
    <b:Author>
      <b:Author>
        <b:NameList>
          <b:Person>
            <b:Last>CAN</b:Last>
          </b:Person>
        </b:NameList>
      </b:Author>
    </b:Author>
    <b:Title>Decisión 698</b:Title>
    <b:Year>2008</b:Year>
    <b:City>Lima</b:City>
    <b:Publisher>CAN</b:Publisher>
    <b:RefOrder>1</b:RefOrder>
  </b:Source>
  <b:Source>
    <b:Tag>Ech03</b:Tag>
    <b:SourceType>ConferenceProceedings</b:SourceType>
    <b:Guid>{4FC90511-D494-47EC-95C5-2EDDCB854AB7}</b:Guid>
    <b:Title>Registros administrativos, calidad de los datos y credibilidad pública: presentación y debate de los temas sustantivos de la segunda reunión de la Conferencia Estadística de las Américas CEPAL</b:Title>
    <b:Year>2003</b:Year>
    <b:City>Santiago de Chile</b:City>
    <b:Publisher>Serie estudios estadísticos y prospectivos</b:Publisher>
    <b:Pages>10</b:Pages>
    <b:Author>
      <b:Author>
        <b:NameList>
          <b:Person>
            <b:Last>Echegoyen</b:Last>
            <b:First>Graciela (compiladora)</b:First>
          </b:Person>
        </b:NameList>
      </b:Author>
    </b:Author>
    <b:RefOrder>2</b:RefOrder>
  </b:Source>
  <b:Source>
    <b:Tag>And12</b:Tag>
    <b:SourceType>Book</b:SourceType>
    <b:Guid>{172E5F9B-A805-4854-AD11-61AA29204BF9}</b:Guid>
    <b:Author>
      <b:Author>
        <b:NameList>
          <b:Person>
            <b:Last>Wallgren</b:Last>
            <b:First>Anders</b:First>
            <b:Middle>y Britt</b:Middle>
          </b:Person>
        </b:NameList>
      </b:Author>
    </b:Author>
    <b:Title>Estadísticas basadas en registros administrativos</b:Title>
    <b:Year>2012</b:Year>
    <b:City>México</b:City>
    <b:Publisher>INEGI</b:Publisher>
    <b:RefOrder>3</b:RefOrder>
  </b:Source>
  <b:Source>
    <b:Tag>CAN10</b:Tag>
    <b:SourceType>Book</b:SourceType>
    <b:Guid>{8C6CF157-2B3B-4B4A-864C-CFF1B5A90C31}</b:Guid>
    <b:Author>
      <b:Author>
        <b:NameList>
          <b:Person>
            <b:Last>CAN</b:Last>
          </b:Person>
        </b:NameList>
      </b:Author>
    </b:Author>
    <b:Title>Manual sobre Directorio de Empresas con Fines Estadísticos en la Comunidad Andina</b:Title>
    <b:Year>2010</b:Year>
    <b:City>Lima</b:City>
    <b:Publisher>SGCAN</b:Publisher>
    <b:RefOrder>4</b:RefOrder>
  </b:Source>
  <b:Source>
    <b:Tag>CEP13</b:Tag>
    <b:SourceType>Book</b:SourceType>
    <b:Guid>{7EB2F8E4-570F-4A65-B60A-CC21AAA624A3}</b:Guid>
    <b:Author>
      <b:Author>
        <b:NameList>
          <b:Person>
            <b:Last>CEPAL</b:Last>
          </b:Person>
        </b:NameList>
      </b:Author>
    </b:Author>
    <b:Title>Compendio de Recomendaciones y Buenas Prácticas</b:Title>
    <b:Year>2013</b:Year>
    <b:City>México</b:City>
    <b:Publisher>CEPAL</b:Publisher>
    <b:RefOrder>5</b:RefOrder>
  </b:Source>
  <b:Source>
    <b:Tag>CAN09</b:Tag>
    <b:SourceType>Book</b:SourceType>
    <b:Guid>{2BDBA415-7438-4AF8-B3A1-241AB7F5B3FC}</b:Guid>
    <b:Author>
      <b:Author>
        <b:NameList>
          <b:Person>
            <b:Last>CAN</b:Last>
          </b:Person>
        </b:NameList>
      </b:Author>
    </b:Author>
    <b:Title>Resolución 1273 </b:Title>
    <b:Year>2009</b:Year>
    <b:City>Lima</b:City>
    <b:Publisher>CAN</b:Publisher>
    <b:RefOrder>6</b:RefOrder>
  </b:Source>
  <b:Source>
    <b:Tag>Ser15</b:Tag>
    <b:SourceType>Book</b:SourceType>
    <b:Guid>{4CFB18EB-8879-4596-9A50-C2ABEF47AD11}</b:Guid>
    <b:Author>
      <b:Author>
        <b:NameList>
          <b:Person>
            <b:Last>SRI</b:Last>
          </b:Person>
        </b:NameList>
      </b:Author>
    </b:Author>
    <b:Title>Guía Básica</b:Title>
    <b:Year>2015</b:Year>
    <b:City>Quito</b:City>
    <b:Publisher>SRI</b:Publisher>
    <b:RefOrder>7</b:RefOrder>
  </b:Source>
  <b:Source>
    <b:Tag>Ley04</b:Tag>
    <b:SourceType>Misc</b:SourceType>
    <b:Guid>{1944715A-47DE-4E55-A7A4-5232C25D188D}</b:Guid>
    <b:Title>Ley de Régimen Tributario Interno</b:Title>
    <b:Year>2004</b:Year>
    <b:CountryRegion>Ecuador</b:CountryRegion>
    <b:RefOrder>8</b:RefOrder>
  </b:Source>
</b:Sources>
</file>

<file path=customXml/itemProps1.xml><?xml version="1.0" encoding="utf-8"?>
<ds:datastoreItem xmlns:ds="http://schemas.openxmlformats.org/officeDocument/2006/customXml" ds:itemID="{B10B5357-79B6-419D-BFAE-F859038B0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982</TotalTime>
  <Pages>72</Pages>
  <Words>19438</Words>
  <Characters>106914</Characters>
  <Application>Microsoft Office Word</Application>
  <DocSecurity>0</DocSecurity>
  <Lines>890</Lines>
  <Paragraphs>252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126100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Jacqueline Imbaquingo</cp:lastModifiedBy>
  <cp:revision>13</cp:revision>
  <cp:lastPrinted>2020-10-23T02:10:00Z</cp:lastPrinted>
  <dcterms:created xsi:type="dcterms:W3CDTF">2022-10-25T16:57:00Z</dcterms:created>
  <dcterms:modified xsi:type="dcterms:W3CDTF">2022-11-14T16:55:00Z</dcterms:modified>
</cp:coreProperties>
</file>